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  <w:r w:rsidRPr="00E11671">
        <w:rPr>
          <w:noProof/>
          <w:sz w:val="22"/>
          <w:szCs w:val="22"/>
          <w:lang w:val="sr-Latn-RS" w:eastAsia="sr-Latn-RS"/>
        </w:rPr>
        <w:drawing>
          <wp:anchor distT="0" distB="0" distL="0" distR="0" simplePos="0" relativeHeight="251659264" behindDoc="0" locked="0" layoutInCell="1" allowOverlap="1" wp14:anchorId="700233AA" wp14:editId="1F850130">
            <wp:simplePos x="0" y="0"/>
            <wp:positionH relativeFrom="column">
              <wp:posOffset>1695450</wp:posOffset>
            </wp:positionH>
            <wp:positionV relativeFrom="paragraph">
              <wp:posOffset>9525</wp:posOffset>
            </wp:positionV>
            <wp:extent cx="469900" cy="699770"/>
            <wp:effectExtent l="0" t="0" r="6350" b="5080"/>
            <wp:wrapSquare wrapText="largest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997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tbl>
      <w:tblPr>
        <w:tblpPr w:leftFromText="180" w:rightFromText="180" w:vertAnchor="page" w:horzAnchor="page" w:tblpX="1996" w:tblpY="2686"/>
        <w:tblW w:w="0" w:type="auto"/>
        <w:tblLayout w:type="fixed"/>
        <w:tblLook w:val="0000" w:firstRow="0" w:lastRow="0" w:firstColumn="0" w:lastColumn="0" w:noHBand="0" w:noVBand="0"/>
      </w:tblPr>
      <w:tblGrid>
        <w:gridCol w:w="5392"/>
      </w:tblGrid>
      <w:tr w:rsidR="009D70C5" w:rsidRPr="00E11671" w:rsidTr="0070762B">
        <w:trPr>
          <w:trHeight w:val="298"/>
        </w:trPr>
        <w:tc>
          <w:tcPr>
            <w:tcW w:w="5392" w:type="dxa"/>
          </w:tcPr>
          <w:p w:rsidR="009D70C5" w:rsidRPr="00E11671" w:rsidRDefault="009D70C5" w:rsidP="0070762B">
            <w:pPr>
              <w:pStyle w:val="NoSpacing"/>
              <w:ind w:left="113"/>
              <w:jc w:val="center"/>
              <w:rPr>
                <w:rFonts w:ascii="Times New Roman" w:hAnsi="Times New Roman"/>
                <w:lang w:val="sr-Cyrl-RS"/>
              </w:rPr>
            </w:pPr>
            <w:r w:rsidRPr="00E11671">
              <w:rPr>
                <w:rFonts w:ascii="Times New Roman" w:hAnsi="Times New Roman"/>
                <w:lang w:val="sr-Cyrl-RS"/>
              </w:rPr>
              <w:t>Република Србија</w:t>
            </w:r>
          </w:p>
          <w:p w:rsidR="009D70C5" w:rsidRPr="00E11671" w:rsidRDefault="009D70C5" w:rsidP="0070762B">
            <w:pPr>
              <w:pStyle w:val="NoSpacing"/>
              <w:ind w:left="113"/>
              <w:jc w:val="center"/>
              <w:rPr>
                <w:rFonts w:ascii="Times New Roman" w:hAnsi="Times New Roman"/>
                <w:lang w:val="sr-Cyrl-RS"/>
              </w:rPr>
            </w:pPr>
            <w:r w:rsidRPr="00E11671">
              <w:rPr>
                <w:rFonts w:ascii="Times New Roman" w:hAnsi="Times New Roman"/>
                <w:lang w:val="sr-Cyrl-RS"/>
              </w:rPr>
              <w:t>МИНИСТАРСТВО ЗА ЉУДСКА И  МАЊИНСКА ПРАВА И ДРУШТВЕНИ ДИЈАЛОГ</w:t>
            </w:r>
          </w:p>
          <w:p w:rsidR="009D70C5" w:rsidRPr="00E11671" w:rsidRDefault="009D70C5" w:rsidP="0070762B">
            <w:pPr>
              <w:pStyle w:val="NoSpacing"/>
              <w:ind w:left="113"/>
              <w:jc w:val="center"/>
              <w:rPr>
                <w:rFonts w:ascii="Times New Roman" w:hAnsi="Times New Roman"/>
                <w:lang w:val="sr-Cyrl-RS"/>
              </w:rPr>
            </w:pPr>
            <w:r w:rsidRPr="00E11671">
              <w:rPr>
                <w:rFonts w:ascii="Times New Roman" w:hAnsi="Times New Roman"/>
                <w:lang w:val="sr-Cyrl-RS"/>
              </w:rPr>
              <w:t xml:space="preserve">Дана: </w:t>
            </w:r>
            <w:r>
              <w:rPr>
                <w:rFonts w:ascii="Times New Roman" w:hAnsi="Times New Roman"/>
                <w:lang w:val="sr-Latn-RS"/>
              </w:rPr>
              <w:t>1</w:t>
            </w:r>
            <w:r>
              <w:rPr>
                <w:rFonts w:ascii="Times New Roman" w:hAnsi="Times New Roman"/>
                <w:lang w:val="sr-Cyrl-RS"/>
              </w:rPr>
              <w:t>2</w:t>
            </w:r>
            <w:r w:rsidRPr="00E11671">
              <w:rPr>
                <w:rFonts w:ascii="Times New Roman" w:hAnsi="Times New Roman"/>
                <w:lang w:val="sr-Cyrl-RS"/>
              </w:rPr>
              <w:t>. 0</w:t>
            </w:r>
            <w:r w:rsidRPr="00E11671">
              <w:rPr>
                <w:rFonts w:ascii="Times New Roman" w:hAnsi="Times New Roman"/>
              </w:rPr>
              <w:t>2</w:t>
            </w:r>
            <w:r w:rsidRPr="00E11671">
              <w:rPr>
                <w:rFonts w:ascii="Times New Roman" w:hAnsi="Times New Roman"/>
                <w:lang w:val="sr-Cyrl-RS"/>
              </w:rPr>
              <w:t>. 2021. године</w:t>
            </w:r>
          </w:p>
          <w:p w:rsidR="009D70C5" w:rsidRPr="00E11671" w:rsidRDefault="009D70C5" w:rsidP="0070762B">
            <w:pPr>
              <w:pStyle w:val="NoSpacing"/>
              <w:ind w:left="113"/>
              <w:jc w:val="center"/>
              <w:rPr>
                <w:rFonts w:ascii="Times New Roman" w:hAnsi="Times New Roman"/>
                <w:lang w:val="sr-Cyrl-RS"/>
              </w:rPr>
            </w:pPr>
            <w:r w:rsidRPr="00E11671">
              <w:rPr>
                <w:rFonts w:ascii="Times New Roman" w:hAnsi="Times New Roman"/>
                <w:lang w:val="sr-Cyrl-RS"/>
              </w:rPr>
              <w:t>Булевар Михајла Пупина 2</w:t>
            </w:r>
          </w:p>
          <w:p w:rsidR="009D70C5" w:rsidRPr="00E11671" w:rsidRDefault="009D70C5" w:rsidP="0070762B">
            <w:pPr>
              <w:pStyle w:val="NoSpacing"/>
              <w:ind w:left="113"/>
              <w:jc w:val="center"/>
              <w:rPr>
                <w:rFonts w:ascii="Times New Roman" w:hAnsi="Times New Roman"/>
                <w:lang w:val="sr-Cyrl-RS"/>
              </w:rPr>
            </w:pPr>
            <w:r w:rsidRPr="00E11671">
              <w:rPr>
                <w:rFonts w:ascii="Times New Roman" w:hAnsi="Times New Roman"/>
                <w:lang w:val="sr-Cyrl-RS"/>
              </w:rPr>
              <w:t>Б е о г р а д</w:t>
            </w:r>
          </w:p>
          <w:p w:rsidR="009D70C5" w:rsidRPr="00E11671" w:rsidRDefault="009D70C5" w:rsidP="0070762B">
            <w:pPr>
              <w:pStyle w:val="NoSpacing"/>
              <w:ind w:left="113"/>
              <w:jc w:val="center"/>
              <w:rPr>
                <w:rFonts w:ascii="Times New Roman" w:hAnsi="Times New Roman"/>
                <w:lang w:val="sr-Cyrl-RS"/>
              </w:rPr>
            </w:pPr>
          </w:p>
        </w:tc>
      </w:tr>
    </w:tbl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Pr="00947ABE" w:rsidRDefault="009D70C5" w:rsidP="009D70C5">
      <w:pPr>
        <w:ind w:left="567"/>
        <w:jc w:val="both"/>
        <w:rPr>
          <w:rFonts w:eastAsia="Calibri"/>
          <w:lang w:val="sr-Cyrl-RS" w:eastAsia="en-US"/>
        </w:rPr>
      </w:pPr>
      <w:r w:rsidRPr="00947ABE">
        <w:rPr>
          <w:lang w:val="sr-Cyrl-RS"/>
        </w:rPr>
        <w:t>Учесници тематског друштвеног дијалога</w:t>
      </w:r>
      <w:r w:rsidRPr="00947ABE">
        <w:rPr>
          <w:lang w:val="sr-Latn-RS"/>
        </w:rPr>
        <w:t xml:space="preserve"> o</w:t>
      </w:r>
      <w:r w:rsidRPr="00947ABE">
        <w:rPr>
          <w:lang w:val="sr-Cyrl-RS"/>
        </w:rPr>
        <w:t xml:space="preserve"> Полазним основама за израду Нацрта закона </w:t>
      </w:r>
      <w:r>
        <w:rPr>
          <w:lang w:val="sr-Latn-RS"/>
        </w:rPr>
        <w:t xml:space="preserve">o </w:t>
      </w:r>
      <w:r w:rsidRPr="00947ABE">
        <w:rPr>
          <w:lang w:val="sr-Cyrl-RS"/>
        </w:rPr>
        <w:t xml:space="preserve">родној равноправности - у области </w:t>
      </w:r>
      <w:r w:rsidRPr="00DC56A7">
        <w:rPr>
          <w:rFonts w:eastAsia="Calibri"/>
          <w:lang w:val="sr-Cyrl-RS"/>
        </w:rPr>
        <w:t>социјалне политике и здравствене заштите</w:t>
      </w:r>
      <w:r w:rsidRPr="00947ABE">
        <w:rPr>
          <w:lang w:val="sr-Cyrl-RS"/>
        </w:rPr>
        <w:t xml:space="preserve">, одржаног </w:t>
      </w:r>
      <w:r>
        <w:rPr>
          <w:lang w:val="sr-Cyrl-RS"/>
        </w:rPr>
        <w:t>10</w:t>
      </w:r>
      <w:r w:rsidRPr="00947ABE">
        <w:rPr>
          <w:lang w:val="sr-Cyrl-RS"/>
        </w:rPr>
        <w:t xml:space="preserve">.02.2021.године у организацији  </w:t>
      </w:r>
      <w:r w:rsidRPr="00947ABE">
        <w:rPr>
          <w:rFonts w:eastAsia="Calibri"/>
          <w:lang w:val="sr-Cyrl-RS"/>
        </w:rPr>
        <w:t xml:space="preserve">Министарства за људска и мањинска права и друштвени дијалог </w:t>
      </w:r>
      <w:r>
        <w:rPr>
          <w:lang w:val="sr-Cyrl-RS"/>
        </w:rPr>
        <w:t xml:space="preserve">уз подршку Агенције Уједињених нација за родну равноправност и оснаживање жена </w:t>
      </w:r>
      <w:r>
        <w:rPr>
          <w:i/>
        </w:rPr>
        <w:t>UN Women</w:t>
      </w:r>
      <w:r w:rsidRPr="00947ABE">
        <w:rPr>
          <w:rFonts w:eastAsia="Calibri"/>
          <w:lang w:val="sr-Cyrl-RS"/>
        </w:rPr>
        <w:t xml:space="preserve">, свим </w:t>
      </w:r>
      <w:r w:rsidRPr="00947ABE">
        <w:rPr>
          <w:lang w:val="sr-Cyrl-RS"/>
        </w:rPr>
        <w:t>надлежним актерима у Републици Србији, достављају утврђен</w:t>
      </w:r>
      <w:r>
        <w:rPr>
          <w:lang w:val="sr-Cyrl-RS"/>
        </w:rPr>
        <w:t>а</w:t>
      </w:r>
      <w:r w:rsidRPr="00947ABE">
        <w:rPr>
          <w:lang w:val="sr-Cyrl-RS"/>
        </w:rPr>
        <w:t xml:space="preserve"> </w:t>
      </w:r>
      <w:r w:rsidRPr="00947ABE">
        <w:rPr>
          <w:rFonts w:eastAsia="Calibri"/>
          <w:lang w:val="sr-Cyrl-RS"/>
        </w:rPr>
        <w:t xml:space="preserve"> </w:t>
      </w: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Pr="00947ABE" w:rsidRDefault="009D70C5" w:rsidP="009D70C5">
      <w:pPr>
        <w:ind w:left="57" w:right="-227"/>
        <w:jc w:val="center"/>
        <w:rPr>
          <w:b/>
          <w:lang w:val="sr-Cyrl-RS"/>
        </w:rPr>
      </w:pPr>
      <w:r w:rsidRPr="00947ABE">
        <w:rPr>
          <w:b/>
          <w:lang w:val="sr-Cyrl-RS"/>
        </w:rPr>
        <w:t>ОБАВЕЗУЈУЋ</w:t>
      </w:r>
      <w:r>
        <w:rPr>
          <w:b/>
          <w:lang w:val="sr-Cyrl-RS"/>
        </w:rPr>
        <w:t>А</w:t>
      </w:r>
      <w:r w:rsidRPr="00947ABE">
        <w:rPr>
          <w:b/>
          <w:lang w:val="sr-Cyrl-RS"/>
        </w:rPr>
        <w:t xml:space="preserve"> П</w:t>
      </w:r>
      <w:r>
        <w:rPr>
          <w:b/>
          <w:lang w:val="sr-Cyrl-RS"/>
        </w:rPr>
        <w:t>ОСТУПАЊА</w:t>
      </w:r>
      <w:bookmarkStart w:id="0" w:name="_GoBack"/>
      <w:bookmarkEnd w:id="0"/>
    </w:p>
    <w:p w:rsidR="009D70C5" w:rsidRPr="00947ABE" w:rsidRDefault="009D70C5" w:rsidP="009D70C5">
      <w:pPr>
        <w:ind w:left="57" w:right="-227"/>
        <w:jc w:val="center"/>
        <w:rPr>
          <w:rFonts w:asciiTheme="minorHAnsi" w:hAnsiTheme="minorHAnsi" w:cstheme="minorBidi"/>
          <w:lang w:val="sr-Cyrl-RS"/>
        </w:rPr>
      </w:pPr>
    </w:p>
    <w:p w:rsidR="009D70C5" w:rsidRDefault="009D70C5" w:rsidP="009D70C5">
      <w:pPr>
        <w:ind w:left="567"/>
        <w:jc w:val="both"/>
        <w:rPr>
          <w:rFonts w:eastAsia="Arial Unicode MS"/>
          <w:color w:val="000000"/>
          <w:lang w:val="sr-Latn-RS" w:eastAsia="sr-Cyrl-CS"/>
        </w:rPr>
      </w:pPr>
      <w:r w:rsidRPr="00947ABE">
        <w:rPr>
          <w:lang w:val="sr-Cyrl-RS"/>
        </w:rPr>
        <w:t xml:space="preserve">тематског друштвеног дијалога о </w:t>
      </w:r>
      <w:r w:rsidRPr="00947ABE">
        <w:rPr>
          <w:lang w:val="sr-Latn-RS"/>
        </w:rPr>
        <w:t>o</w:t>
      </w:r>
      <w:r w:rsidRPr="00947ABE">
        <w:rPr>
          <w:lang w:val="sr-Cyrl-RS"/>
        </w:rPr>
        <w:t xml:space="preserve"> Полазним основама за израду Нацрта закона </w:t>
      </w:r>
      <w:r>
        <w:rPr>
          <w:lang w:val="sr-Latn-RS"/>
        </w:rPr>
        <w:t xml:space="preserve">o </w:t>
      </w:r>
      <w:r w:rsidRPr="00947ABE">
        <w:rPr>
          <w:lang w:val="sr-Cyrl-RS"/>
        </w:rPr>
        <w:t xml:space="preserve">родној равноправности - у области </w:t>
      </w:r>
      <w:r w:rsidRPr="00DC56A7">
        <w:rPr>
          <w:rFonts w:eastAsia="Calibri"/>
          <w:lang w:val="sr-Cyrl-RS"/>
        </w:rPr>
        <w:t>социјалне политике и здравствене заштите</w:t>
      </w:r>
    </w:p>
    <w:p w:rsidR="009D70C5" w:rsidRDefault="009D70C5" w:rsidP="009D70C5">
      <w:pPr>
        <w:widowControl w:val="0"/>
        <w:suppressAutoHyphens w:val="0"/>
        <w:ind w:left="567"/>
        <w:rPr>
          <w:rFonts w:eastAsia="Arial Unicode MS"/>
          <w:color w:val="000000"/>
          <w:lang w:val="sr-Latn-RS" w:eastAsia="sr-Cyrl-CS"/>
        </w:rPr>
      </w:pPr>
    </w:p>
    <w:p w:rsidR="009D70C5" w:rsidRPr="00DC56A7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Полазне основе за </w:t>
      </w:r>
      <w:r w:rsidRPr="00947ABE">
        <w:rPr>
          <w:lang w:val="sr-Cyrl-RS"/>
        </w:rPr>
        <w:t xml:space="preserve">за израду Нацрта закона </w:t>
      </w:r>
      <w:r>
        <w:rPr>
          <w:lang w:val="sr-Latn-RS"/>
        </w:rPr>
        <w:t xml:space="preserve">o </w:t>
      </w:r>
      <w:r w:rsidRPr="00947ABE">
        <w:rPr>
          <w:lang w:val="sr-Cyrl-RS"/>
        </w:rPr>
        <w:t>родној равноправности</w:t>
      </w:r>
      <w:r w:rsidRPr="00DC56A7">
        <w:rPr>
          <w:rFonts w:eastAsia="Arial Unicode MS"/>
          <w:color w:val="000000"/>
          <w:lang w:val="sr-Latn-RS" w:eastAsia="sr-Cyrl-CS"/>
        </w:rPr>
        <w:t xml:space="preserve"> област социјалне и здравствене заштите, ослоњене су на  Устав РС (принцип социјалне правде, принцип једнаких могућности, заштита достигнутог нивоа права, уставне гаранције права на социјалну и здравствену заштиту (труднице, мајке, самохрани родитељ), посебно финансирање здравствене заштите из јавних прихода за труднице, мајке током породиљског одсуства и самохраног родитеља са децом до 7 године; општеприхваћена правила међународног права, потврђене међународне уговоре и законодавство ЕУ.</w:t>
      </w:r>
      <w:r>
        <w:rPr>
          <w:lang w:val="sr-Cyrl-RS"/>
        </w:rPr>
        <w:t xml:space="preserve"> </w:t>
      </w:r>
    </w:p>
    <w:p w:rsidR="009D70C5" w:rsidRPr="00DC56A7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b/>
          <w:color w:val="000000"/>
          <w:lang w:val="sr-Cyrl-RS" w:eastAsia="sr-Cyrl-CS"/>
        </w:rPr>
      </w:pPr>
      <w:r w:rsidRPr="00DC56A7">
        <w:rPr>
          <w:rFonts w:eastAsia="Arial Unicode MS"/>
          <w:b/>
          <w:color w:val="000000"/>
          <w:lang w:val="sr-Cyrl-RS" w:eastAsia="sr-Cyrl-CS"/>
        </w:rPr>
        <w:t xml:space="preserve">Социјална </w:t>
      </w:r>
      <w:r>
        <w:rPr>
          <w:rFonts w:eastAsia="Arial Unicode MS"/>
          <w:b/>
          <w:color w:val="000000"/>
          <w:lang w:val="sr-Cyrl-RS" w:eastAsia="sr-Cyrl-CS"/>
        </w:rPr>
        <w:t>политика</w:t>
      </w:r>
      <w:r w:rsidRPr="00DC56A7">
        <w:rPr>
          <w:rFonts w:eastAsia="Arial Unicode MS"/>
          <w:b/>
          <w:color w:val="000000"/>
          <w:lang w:val="sr-Cyrl-RS" w:eastAsia="sr-Cyrl-CS"/>
        </w:rPr>
        <w:t xml:space="preserve"> </w:t>
      </w:r>
    </w:p>
    <w:p w:rsidR="009D70C5" w:rsidRPr="00DC56A7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b/>
          <w:color w:val="000000"/>
          <w:lang w:val="sr-Cyrl-RS" w:eastAsia="sr-Cyrl-CS"/>
        </w:rPr>
      </w:pPr>
    </w:p>
    <w:p w:rsidR="009D70C5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>Област с</w:t>
      </w:r>
      <w:r w:rsidRPr="00DC56A7">
        <w:rPr>
          <w:rFonts w:eastAsia="Arial Unicode MS"/>
          <w:color w:val="000000"/>
          <w:lang w:val="sr-Latn-RS" w:eastAsia="sr-Cyrl-CS"/>
        </w:rPr>
        <w:t>оцијалн</w:t>
      </w:r>
      <w:r>
        <w:rPr>
          <w:rFonts w:eastAsia="Arial Unicode MS"/>
          <w:color w:val="000000"/>
          <w:lang w:val="sr-Cyrl-RS" w:eastAsia="sr-Cyrl-CS"/>
        </w:rPr>
        <w:t>е</w:t>
      </w:r>
      <w:r w:rsidRPr="00DC56A7">
        <w:rPr>
          <w:rFonts w:eastAsia="Arial Unicode MS"/>
          <w:color w:val="000000"/>
          <w:lang w:val="sr-Latn-RS" w:eastAsia="sr-Cyrl-CS"/>
        </w:rPr>
        <w:t xml:space="preserve"> </w:t>
      </w:r>
      <w:r>
        <w:rPr>
          <w:rFonts w:eastAsia="Arial Unicode MS"/>
          <w:color w:val="000000"/>
          <w:lang w:val="sr-Cyrl-RS" w:eastAsia="sr-Cyrl-CS"/>
        </w:rPr>
        <w:t>политике</w:t>
      </w:r>
      <w:r w:rsidRPr="00DC56A7">
        <w:rPr>
          <w:rFonts w:eastAsia="Arial Unicode MS"/>
          <w:color w:val="000000"/>
          <w:lang w:val="sr-Latn-RS" w:eastAsia="sr-Cyrl-CS"/>
        </w:rPr>
        <w:t xml:space="preserve"> означена је као значајна област за унапређење родне равноправности, а као посебне мере апострофиране су: </w:t>
      </w:r>
    </w:p>
    <w:p w:rsidR="009D70C5" w:rsidRDefault="009D70C5" w:rsidP="009D70C5">
      <w:pPr>
        <w:pStyle w:val="ListParagraph"/>
        <w:widowControl w:val="0"/>
        <w:numPr>
          <w:ilvl w:val="0"/>
          <w:numId w:val="1"/>
        </w:numPr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 w:rsidRPr="00DC56A7">
        <w:rPr>
          <w:rFonts w:eastAsia="Arial Unicode MS"/>
          <w:color w:val="000000"/>
          <w:lang w:val="sr-Latn-RS" w:eastAsia="sr-Cyrl-CS"/>
        </w:rPr>
        <w:t xml:space="preserve">забрана родно засноване дискриминације посебно у погледу: приступачности заштите; обима, обухвата и услова коришћења права на социјалну заштиту; обавезу уплате и обрачуна доприноса; </w:t>
      </w:r>
    </w:p>
    <w:p w:rsidR="009D70C5" w:rsidRDefault="009D70C5" w:rsidP="009D70C5">
      <w:pPr>
        <w:pStyle w:val="ListParagraph"/>
        <w:widowControl w:val="0"/>
        <w:numPr>
          <w:ilvl w:val="0"/>
          <w:numId w:val="1"/>
        </w:numPr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 w:rsidRPr="00DC56A7">
        <w:rPr>
          <w:rFonts w:eastAsia="Arial Unicode MS"/>
          <w:color w:val="000000"/>
          <w:lang w:val="sr-Latn-RS" w:eastAsia="sr-Cyrl-CS"/>
        </w:rPr>
        <w:t xml:space="preserve">обрачун давања као и допунска давања за супружника и издржаване чланове породице и услови везане за трајање и задржавање ових права; социјалне карте; формирање алиментационог фонда; </w:t>
      </w:r>
    </w:p>
    <w:p w:rsidR="009D70C5" w:rsidRPr="00DC56A7" w:rsidRDefault="009D70C5" w:rsidP="009D70C5">
      <w:pPr>
        <w:pStyle w:val="ListParagraph"/>
        <w:widowControl w:val="0"/>
        <w:numPr>
          <w:ilvl w:val="0"/>
          <w:numId w:val="1"/>
        </w:numPr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 w:rsidRPr="00DC56A7">
        <w:rPr>
          <w:rFonts w:eastAsia="Arial Unicode MS"/>
          <w:color w:val="000000"/>
          <w:lang w:val="sr-Latn-RS" w:eastAsia="sr-Cyrl-CS"/>
        </w:rPr>
        <w:t>обим, обухват и приступ пензионом систему као и обавеза обрачуна и уплаћивања доприноса укључујући и допунска давања.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Cyrl-RS" w:eastAsia="sr-Cyrl-CS"/>
        </w:rPr>
      </w:pPr>
    </w:p>
    <w:p w:rsidR="009D70C5" w:rsidRDefault="009D70C5" w:rsidP="009D70C5">
      <w:pPr>
        <w:widowControl w:val="0"/>
        <w:suppressAutoHyphens w:val="0"/>
        <w:ind w:left="510"/>
        <w:jc w:val="both"/>
        <w:rPr>
          <w:rFonts w:eastAsia="Arial Unicode MS"/>
          <w:b/>
          <w:color w:val="000000"/>
          <w:lang w:val="sr-Cyrl-RS" w:eastAsia="sr-Cyrl-CS"/>
        </w:rPr>
      </w:pPr>
    </w:p>
    <w:p w:rsidR="009D70C5" w:rsidRPr="00DC56A7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b/>
          <w:color w:val="000000"/>
          <w:lang w:val="sr-Cyrl-RS" w:eastAsia="sr-Cyrl-CS"/>
        </w:rPr>
      </w:pPr>
      <w:r w:rsidRPr="00DC56A7">
        <w:rPr>
          <w:rFonts w:eastAsia="Arial Unicode MS"/>
          <w:b/>
          <w:color w:val="000000"/>
          <w:lang w:val="sr-Cyrl-RS" w:eastAsia="sr-Cyrl-CS"/>
        </w:rPr>
        <w:t>Здравствена заштита</w:t>
      </w:r>
    </w:p>
    <w:p w:rsidR="009D70C5" w:rsidRDefault="009D70C5" w:rsidP="009D70C5">
      <w:pPr>
        <w:widowControl w:val="0"/>
        <w:suppressAutoHyphens w:val="0"/>
        <w:ind w:left="510"/>
        <w:jc w:val="both"/>
        <w:rPr>
          <w:rFonts w:eastAsia="Arial Unicode MS"/>
          <w:color w:val="000000"/>
          <w:lang w:val="sr-Cyrl-RS" w:eastAsia="sr-Cyrl-CS"/>
        </w:rPr>
      </w:pPr>
    </w:p>
    <w:p w:rsidR="009D70C5" w:rsidRPr="00DC56A7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>У дијалогу је посебна пажња дата з</w:t>
      </w:r>
      <w:r w:rsidRPr="00DC56A7">
        <w:rPr>
          <w:rFonts w:eastAsia="Arial Unicode MS"/>
          <w:color w:val="000000"/>
          <w:lang w:val="sr-Latn-RS" w:eastAsia="sr-Cyrl-CS"/>
        </w:rPr>
        <w:t>начај</w:t>
      </w:r>
      <w:r>
        <w:rPr>
          <w:rFonts w:eastAsia="Arial Unicode MS"/>
          <w:color w:val="000000"/>
          <w:lang w:val="sr-Cyrl-RS" w:eastAsia="sr-Cyrl-CS"/>
        </w:rPr>
        <w:t>у</w:t>
      </w:r>
      <w:r w:rsidRPr="00DC56A7">
        <w:rPr>
          <w:rFonts w:eastAsia="Arial Unicode MS"/>
          <w:color w:val="000000"/>
          <w:lang w:val="sr-Latn-RS" w:eastAsia="sr-Cyrl-CS"/>
        </w:rPr>
        <w:t xml:space="preserve"> здравствене заштите, са акцентом на приступачност ове заштите; превентивне мере; обим и обухват здравствене заштите нарочито за рањиве групе (жене са села, ромкиње, особе са инвалидитетом); праћење, подршка и унапређење репродуктивног здравља; организовање и спровођење програма за превазилажење проблема везаних за ране трудноће и заснивање партнерних односа између лица млађих од 16 година</w:t>
      </w:r>
      <w:r>
        <w:rPr>
          <w:rFonts w:eastAsia="Arial Unicode MS"/>
          <w:color w:val="000000"/>
          <w:lang w:val="sr-Cyrl-RS" w:eastAsia="sr-Cyrl-CS"/>
        </w:rPr>
        <w:t xml:space="preserve"> </w:t>
      </w:r>
      <w:r w:rsidRPr="00DC56A7">
        <w:rPr>
          <w:rFonts w:eastAsia="Arial Unicode MS"/>
          <w:color w:val="000000"/>
          <w:lang w:val="sr-Latn-RS" w:eastAsia="sr-Cyrl-CS"/>
        </w:rPr>
        <w:t>и са лицима млађим од 16 година; примена посебних мера за рано откривање болести.</w:t>
      </w:r>
    </w:p>
    <w:p w:rsidR="009D70C5" w:rsidRPr="00DC56A7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>У</w:t>
      </w:r>
      <w:r w:rsidRPr="00DC56A7">
        <w:rPr>
          <w:rFonts w:eastAsia="Arial Unicode MS"/>
          <w:color w:val="000000"/>
          <w:lang w:val="sr-Latn-RS" w:eastAsia="sr-Cyrl-CS"/>
        </w:rPr>
        <w:t xml:space="preserve"> области социјалне и здравствене заштите</w:t>
      </w:r>
      <w:r>
        <w:rPr>
          <w:rFonts w:eastAsia="Arial Unicode MS"/>
          <w:color w:val="000000"/>
          <w:lang w:val="sr-Cyrl-RS" w:eastAsia="sr-Cyrl-CS"/>
        </w:rPr>
        <w:t xml:space="preserve"> нарочито је посвећена пажња на питања везана </w:t>
      </w:r>
      <w:r w:rsidRPr="00DC56A7">
        <w:rPr>
          <w:rFonts w:eastAsia="Arial Unicode MS"/>
          <w:color w:val="000000"/>
          <w:lang w:val="sr-Latn-RS" w:eastAsia="sr-Cyrl-CS"/>
        </w:rPr>
        <w:t xml:space="preserve">за превенцију у санкционисање насиља према женама и насиља у породици и партнерским односима. </w:t>
      </w:r>
    </w:p>
    <w:p w:rsidR="009D70C5" w:rsidRDefault="009D70C5" w:rsidP="009D70C5">
      <w:pPr>
        <w:widowControl w:val="0"/>
        <w:suppressAutoHyphens w:val="0"/>
        <w:ind w:left="567"/>
        <w:jc w:val="both"/>
        <w:rPr>
          <w:rFonts w:eastAsia="Arial Unicode MS"/>
          <w:color w:val="000000"/>
          <w:lang w:val="sr-Latn-RS" w:eastAsia="sr-Cyrl-CS"/>
        </w:rPr>
      </w:pPr>
      <w:r w:rsidRPr="00DC56A7">
        <w:rPr>
          <w:rFonts w:eastAsia="Arial Unicode MS"/>
          <w:color w:val="000000"/>
          <w:lang w:val="sr-Latn-RS" w:eastAsia="sr-Cyrl-CS"/>
        </w:rPr>
        <w:t xml:space="preserve">У фокусу је било: 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- </w:t>
      </w:r>
      <w:r w:rsidRPr="00DC56A7">
        <w:rPr>
          <w:rFonts w:eastAsia="Arial Unicode MS"/>
          <w:color w:val="000000"/>
          <w:lang w:val="sr-Latn-RS" w:eastAsia="sr-Cyrl-CS"/>
        </w:rPr>
        <w:t xml:space="preserve">пружање општих услуга лицима изложеним насиљу (психосоцијална, правна помоћ и бесплатна правна помоћ; 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- </w:t>
      </w:r>
      <w:r w:rsidRPr="00DC56A7">
        <w:rPr>
          <w:rFonts w:eastAsia="Arial Unicode MS"/>
          <w:color w:val="000000"/>
          <w:lang w:val="sr-Latn-RS" w:eastAsia="sr-Cyrl-CS"/>
        </w:rPr>
        <w:t xml:space="preserve">социјална и медицинска заштита; 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- </w:t>
      </w:r>
      <w:r w:rsidRPr="00DC56A7">
        <w:rPr>
          <w:rFonts w:eastAsia="Arial Unicode MS"/>
          <w:color w:val="000000"/>
          <w:lang w:val="sr-Latn-RS" w:eastAsia="sr-Cyrl-CS"/>
        </w:rPr>
        <w:t>обавезе органа јавне власти да, свим лицима изложеним насиљу обезбеде: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Cyrl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       </w:t>
      </w:r>
      <w:r w:rsidRPr="00DC56A7">
        <w:rPr>
          <w:rFonts w:eastAsia="Arial Unicode MS"/>
          <w:color w:val="000000"/>
          <w:lang w:val="sr-Latn-RS" w:eastAsia="sr-Cyrl-CS"/>
        </w:rPr>
        <w:t xml:space="preserve">лако доступан </w:t>
      </w:r>
      <w:r>
        <w:rPr>
          <w:rFonts w:eastAsia="Arial Unicode MS"/>
          <w:color w:val="000000"/>
          <w:lang w:val="sr-Latn-RS" w:eastAsia="sr-Cyrl-CS"/>
        </w:rPr>
        <w:t>приступ општим услугама подршке</w:t>
      </w:r>
      <w:r>
        <w:rPr>
          <w:rFonts w:eastAsia="Arial Unicode MS"/>
          <w:color w:val="000000"/>
          <w:lang w:val="sr-Cyrl-RS" w:eastAsia="sr-Cyrl-CS"/>
        </w:rPr>
        <w:t>;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Cyrl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       </w:t>
      </w:r>
      <w:r w:rsidRPr="00DC56A7">
        <w:rPr>
          <w:rFonts w:eastAsia="Arial Unicode MS"/>
          <w:color w:val="000000"/>
          <w:lang w:val="sr-Latn-RS" w:eastAsia="sr-Cyrl-CS"/>
        </w:rPr>
        <w:t>адекватно опрем</w:t>
      </w:r>
      <w:r>
        <w:rPr>
          <w:rFonts w:eastAsia="Arial Unicode MS"/>
          <w:color w:val="000000"/>
          <w:lang w:val="sr-Latn-RS" w:eastAsia="sr-Cyrl-CS"/>
        </w:rPr>
        <w:t>љен простор за пружање подршке</w:t>
      </w:r>
      <w:r>
        <w:rPr>
          <w:rFonts w:eastAsia="Arial Unicode MS"/>
          <w:color w:val="000000"/>
          <w:lang w:val="sr-Cyrl-RS" w:eastAsia="sr-Cyrl-CS"/>
        </w:rPr>
        <w:t>;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 - </w:t>
      </w:r>
      <w:r w:rsidRPr="00DC56A7">
        <w:rPr>
          <w:rFonts w:eastAsia="Arial Unicode MS"/>
          <w:color w:val="000000"/>
          <w:lang w:val="sr-Latn-RS" w:eastAsia="sr-Cyrl-CS"/>
        </w:rPr>
        <w:t xml:space="preserve">пружање подршке од стране запослених који су обучени за пружање </w:t>
      </w:r>
      <w:r>
        <w:rPr>
          <w:rFonts w:eastAsia="Arial Unicode MS"/>
          <w:color w:val="000000"/>
          <w:lang w:val="sr-Cyrl-RS" w:eastAsia="sr-Cyrl-CS"/>
        </w:rPr>
        <w:t xml:space="preserve">  </w:t>
      </w:r>
      <w:r w:rsidRPr="00DC56A7">
        <w:rPr>
          <w:rFonts w:eastAsia="Arial Unicode MS"/>
          <w:color w:val="000000"/>
          <w:lang w:val="sr-Latn-RS" w:eastAsia="sr-Cyrl-CS"/>
        </w:rPr>
        <w:t xml:space="preserve">помоћи и подршке жртвама насиља), 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- </w:t>
      </w:r>
      <w:r w:rsidRPr="00DC56A7">
        <w:rPr>
          <w:rFonts w:eastAsia="Arial Unicode MS"/>
          <w:color w:val="000000"/>
          <w:lang w:val="sr-Latn-RS" w:eastAsia="sr-Cyrl-CS"/>
        </w:rPr>
        <w:t xml:space="preserve">пружање </w:t>
      </w:r>
      <w:r>
        <w:rPr>
          <w:rFonts w:eastAsia="Arial Unicode MS"/>
          <w:color w:val="000000"/>
          <w:lang w:val="sr-Latn-RS" w:eastAsia="sr-Cyrl-CS"/>
        </w:rPr>
        <w:t xml:space="preserve">специјализованих услуга подршке </w:t>
      </w:r>
      <w:r>
        <w:rPr>
          <w:rFonts w:eastAsia="Arial Unicode MS"/>
          <w:color w:val="000000"/>
          <w:lang w:val="sr-Cyrl-RS" w:eastAsia="sr-Cyrl-CS"/>
        </w:rPr>
        <w:t>(</w:t>
      </w:r>
      <w:r w:rsidRPr="00DC56A7">
        <w:rPr>
          <w:rFonts w:eastAsia="Arial Unicode MS"/>
          <w:color w:val="000000"/>
          <w:lang w:val="sr-Latn-RS" w:eastAsia="sr-Cyrl-CS"/>
        </w:rPr>
        <w:t xml:space="preserve"> СОС телефони за жртве изложене родно заснованом насиљу и финансирање ове услуге, обезбеђивање сигурног бесплатног смештаја жртвама и њиховој деци који су перманентно доступни и прилагођени потребама жртава посебно рањивим групама, специјалистички лекарски и лабораторијски прегледи и психолошка подршка</w:t>
      </w:r>
      <w:r>
        <w:rPr>
          <w:rFonts w:eastAsia="Arial Unicode MS"/>
          <w:color w:val="000000"/>
          <w:lang w:val="sr-Cyrl-RS" w:eastAsia="sr-Cyrl-CS"/>
        </w:rPr>
        <w:t>)</w:t>
      </w:r>
      <w:r w:rsidRPr="00DC56A7">
        <w:rPr>
          <w:rFonts w:eastAsia="Arial Unicode MS"/>
          <w:color w:val="000000"/>
          <w:lang w:val="sr-Latn-RS" w:eastAsia="sr-Cyrl-CS"/>
        </w:rPr>
        <w:t>,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- </w:t>
      </w:r>
      <w:r w:rsidRPr="00DC56A7">
        <w:rPr>
          <w:rFonts w:eastAsia="Arial Unicode MS"/>
          <w:color w:val="000000"/>
          <w:lang w:val="sr-Latn-RS" w:eastAsia="sr-Cyrl-CS"/>
        </w:rPr>
        <w:t xml:space="preserve"> подршка лицима која трпе сексуално насиље, пермаментно доступни центри за пружање подршке жртвама, контрацептивна заштита и заштита од полно преносивих болести, специјализована саветовалишта за жртве насиља прилагођена потребама жена посебно из рањивих група;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>-</w:t>
      </w:r>
      <w:r w:rsidRPr="00DC56A7">
        <w:rPr>
          <w:rFonts w:eastAsia="Arial Unicode MS"/>
          <w:color w:val="000000"/>
          <w:lang w:val="sr-Latn-RS" w:eastAsia="sr-Cyrl-CS"/>
        </w:rPr>
        <w:t xml:space="preserve"> посебни програми за починиоце насиља у циљу спречавања понављања кривичног дела, усвајање ненасилног модела понашања, 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 xml:space="preserve">- </w:t>
      </w:r>
      <w:r w:rsidRPr="00DC56A7">
        <w:rPr>
          <w:rFonts w:eastAsia="Arial Unicode MS"/>
          <w:color w:val="000000"/>
          <w:lang w:val="sr-Latn-RS" w:eastAsia="sr-Cyrl-CS"/>
        </w:rPr>
        <w:t>спровођење програма за рад са починиоцима насиља;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  <w:r>
        <w:rPr>
          <w:rFonts w:eastAsia="Arial Unicode MS"/>
          <w:color w:val="000000"/>
          <w:lang w:val="sr-Cyrl-RS" w:eastAsia="sr-Cyrl-CS"/>
        </w:rPr>
        <w:t>-</w:t>
      </w:r>
      <w:r w:rsidRPr="00DC56A7">
        <w:rPr>
          <w:rFonts w:eastAsia="Arial Unicode MS"/>
          <w:color w:val="000000"/>
          <w:lang w:val="sr-Latn-RS" w:eastAsia="sr-Cyrl-CS"/>
        </w:rPr>
        <w:t xml:space="preserve"> превенција насиља као обавеза органа власти да спроводе и контролишу спровођење мера превенције насиља и финансирају мере намењене подизању свести јавности о потреби спречавања и пријављивања сваког случаја насиља, континуирана едукација професионалаца који раде на спречавању насиља.</w:t>
      </w:r>
    </w:p>
    <w:p w:rsidR="009D70C5" w:rsidRDefault="009D70C5" w:rsidP="009D70C5">
      <w:pPr>
        <w:widowControl w:val="0"/>
        <w:suppressAutoHyphens w:val="0"/>
        <w:ind w:left="1134"/>
        <w:jc w:val="both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9D70C5" w:rsidRDefault="009D70C5" w:rsidP="009D70C5">
      <w:pPr>
        <w:widowControl w:val="0"/>
        <w:suppressAutoHyphens w:val="0"/>
        <w:rPr>
          <w:rFonts w:eastAsia="Arial Unicode MS"/>
          <w:color w:val="000000"/>
          <w:lang w:val="sr-Latn-RS" w:eastAsia="sr-Cyrl-CS"/>
        </w:rPr>
      </w:pPr>
    </w:p>
    <w:p w:rsidR="00E1574D" w:rsidRDefault="009D70C5" w:rsidP="009D70C5">
      <w:pPr>
        <w:ind w:left="6420" w:right="-227"/>
        <w:jc w:val="center"/>
      </w:pPr>
      <w:r w:rsidRPr="00947ABE">
        <w:rPr>
          <w:lang w:val="sr-Cyrl-RS"/>
        </w:rPr>
        <w:t xml:space="preserve">МИНИСТАРСТВО ЗА                                                                                                       </w:t>
      </w:r>
      <w:r>
        <w:rPr>
          <w:lang w:val="sr-Cyrl-RS"/>
        </w:rPr>
        <w:t xml:space="preserve">               </w:t>
      </w:r>
      <w:r w:rsidRPr="00947ABE">
        <w:rPr>
          <w:lang w:val="sr-Cyrl-RS"/>
        </w:rPr>
        <w:t xml:space="preserve">ЉУДСКА И МАЊИНСКА                                                                                                       ПРАВА И ДРУШТВЕНИ                                                                                                   ДИЈАЛОГ </w:t>
      </w:r>
    </w:p>
    <w:sectPr w:rsidR="00E15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3998"/>
    <w:multiLevelType w:val="hybridMultilevel"/>
    <w:tmpl w:val="334EACC4"/>
    <w:lvl w:ilvl="0" w:tplc="6E2E7306">
      <w:start w:val="3"/>
      <w:numFmt w:val="bullet"/>
      <w:lvlText w:val="-"/>
      <w:lvlJc w:val="left"/>
      <w:pPr>
        <w:ind w:left="87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0C5"/>
    <w:rsid w:val="009D70C5"/>
    <w:rsid w:val="00E1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C5"/>
    <w:pPr>
      <w:ind w:left="720"/>
      <w:contextualSpacing/>
    </w:pPr>
  </w:style>
  <w:style w:type="paragraph" w:styleId="NoSpacing">
    <w:name w:val="No Spacing"/>
    <w:uiPriority w:val="1"/>
    <w:qFormat/>
    <w:rsid w:val="009D70C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0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70C5"/>
    <w:pPr>
      <w:ind w:left="720"/>
      <w:contextualSpacing/>
    </w:pPr>
  </w:style>
  <w:style w:type="paragraph" w:styleId="NoSpacing">
    <w:name w:val="No Spacing"/>
    <w:uiPriority w:val="1"/>
    <w:qFormat/>
    <w:rsid w:val="009D70C5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3890</Characters>
  <Application>Microsoft Office Word</Application>
  <DocSecurity>0</DocSecurity>
  <Lines>32</Lines>
  <Paragraphs>9</Paragraphs>
  <ScaleCrop>false</ScaleCrop>
  <Company/>
  <LinksUpToDate>false</LinksUpToDate>
  <CharactersWithSpaces>4563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2021-05-11T19:22:00Z</dcterms:created>
  <dcterms:modified xsi:type="dcterms:W3CDTF">2021-05-11T19:25:00Z</dcterms:modified>
</cp:coreProperties>
</file>