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9BC3B" w14:textId="77777777" w:rsidR="002F4CAC" w:rsidRPr="000F3CF2" w:rsidRDefault="00523C39" w:rsidP="00523C39">
      <w:pPr>
        <w:spacing w:after="120"/>
        <w:ind w:right="-284"/>
        <w:rPr>
          <w:rFonts w:ascii="Neue Machina Ultrabold" w:hAnsi="Neue Machina Ultrabold" w:cstheme="minorHAnsi"/>
          <w:bCs/>
          <w:sz w:val="52"/>
          <w:szCs w:val="52"/>
        </w:rPr>
      </w:pPr>
      <w:r>
        <w:rPr>
          <w:rFonts w:ascii="Neue Machina Ultrabold" w:hAnsi="Neue Machina Ultrabold"/>
          <w:b/>
          <w:bCs/>
          <w:sz w:val="52"/>
          <w:szCs w:val="52"/>
          <w:lang w:val="sr"/>
        </w:rPr>
        <w:t>Заједнички по</w:t>
      </w:r>
      <w:r w:rsidR="004F4DFA">
        <w:rPr>
          <w:rFonts w:ascii="Neue Machina Ultrabold" w:hAnsi="Neue Machina Ultrabold"/>
          <w:b/>
          <w:bCs/>
          <w:sz w:val="52"/>
          <w:szCs w:val="52"/>
          <w:lang w:val="sr"/>
        </w:rPr>
        <w:t>днесак Комитету УН за економска</w:t>
      </w:r>
      <w:r w:rsidR="004F4DFA">
        <w:rPr>
          <w:rFonts w:ascii="Neue Machina Ultrabold" w:hAnsi="Neue Machina Ultrabold"/>
          <w:b/>
          <w:bCs/>
          <w:sz w:val="52"/>
          <w:szCs w:val="52"/>
          <w:lang w:val="sr-Cyrl-RS"/>
        </w:rPr>
        <w:t>,</w:t>
      </w:r>
      <w:r>
        <w:rPr>
          <w:rFonts w:ascii="Neue Machina Ultrabold" w:hAnsi="Neue Machina Ultrabold"/>
          <w:b/>
          <w:bCs/>
          <w:sz w:val="52"/>
          <w:szCs w:val="52"/>
          <w:lang w:val="sr"/>
        </w:rPr>
        <w:t xml:space="preserve"> социјална и културна права </w:t>
      </w:r>
      <w:r>
        <w:rPr>
          <w:rFonts w:ascii="Neue Machina Ultrabold" w:hAnsi="Neue Machina Ultrabold"/>
          <w:sz w:val="52"/>
          <w:szCs w:val="52"/>
          <w:lang w:val="sr"/>
        </w:rPr>
        <w:t xml:space="preserve">за његово 71. заседање и ревизију Републике Србије </w:t>
      </w:r>
    </w:p>
    <w:p w14:paraId="72170284" w14:textId="77777777" w:rsidR="00087EB3" w:rsidRDefault="00087EB3" w:rsidP="00523C39">
      <w:pPr>
        <w:spacing w:after="120"/>
        <w:ind w:right="-284"/>
        <w:rPr>
          <w:rFonts w:ascii="Acumin Pro" w:hAnsi="Acumin Pro" w:cstheme="minorHAnsi"/>
          <w:bCs/>
        </w:rPr>
      </w:pPr>
    </w:p>
    <w:p w14:paraId="77C86F0C" w14:textId="77777777" w:rsidR="003E3B31" w:rsidRDefault="003E3B31" w:rsidP="00087EB3">
      <w:pPr>
        <w:spacing w:after="120"/>
        <w:ind w:right="-284"/>
        <w:jc w:val="center"/>
        <w:rPr>
          <w:rFonts w:ascii="Acumin Pro" w:hAnsi="Acumin Pro" w:cstheme="minorHAnsi"/>
          <w:bCs/>
        </w:rPr>
      </w:pPr>
    </w:p>
    <w:p w14:paraId="5F590B2E" w14:textId="77777777" w:rsidR="002F4CAC" w:rsidRPr="00087EB3" w:rsidRDefault="002F4CAC" w:rsidP="00087EB3">
      <w:pPr>
        <w:spacing w:after="120"/>
        <w:ind w:right="-284"/>
        <w:jc w:val="center"/>
        <w:rPr>
          <w:rFonts w:ascii="Acumin Pro" w:hAnsi="Acumin Pro" w:cstheme="minorHAnsi"/>
          <w:bCs/>
        </w:rPr>
      </w:pPr>
      <w:r>
        <w:rPr>
          <w:rFonts w:ascii="Acumin Pro" w:hAnsi="Acumin Pro" w:cstheme="minorHAnsi"/>
          <w:lang w:val="sr"/>
        </w:rPr>
        <w:t>Припремили</w:t>
      </w:r>
    </w:p>
    <w:p w14:paraId="760ECC3C" w14:textId="77777777" w:rsidR="003D4A1D" w:rsidRDefault="003D4A1D" w:rsidP="00523C39">
      <w:pPr>
        <w:spacing w:after="120"/>
        <w:ind w:right="-284"/>
        <w:rPr>
          <w:rFonts w:ascii="Neue Machina Ultrabold" w:hAnsi="Neue Machina Ultrabold" w:cstheme="minorHAnsi"/>
          <w:bCs/>
          <w:sz w:val="40"/>
          <w:szCs w:val="40"/>
        </w:rPr>
      </w:pPr>
    </w:p>
    <w:p w14:paraId="30BE028C" w14:textId="77777777" w:rsidR="001D4E68" w:rsidRDefault="00F07ED0" w:rsidP="00523C39">
      <w:pPr>
        <w:spacing w:after="120"/>
        <w:ind w:right="-284"/>
        <w:rPr>
          <w:rFonts w:ascii="Neue Machina Ultrabold" w:hAnsi="Neue Machina Ultrabold" w:cstheme="minorHAnsi"/>
          <w:bCs/>
          <w:sz w:val="40"/>
          <w:szCs w:val="40"/>
        </w:rPr>
      </w:pPr>
      <w:r>
        <w:rPr>
          <w:rFonts w:ascii="Neue Machina Ultrabold" w:hAnsi="Neue Machina Ultrabold"/>
          <w:noProof/>
          <w:sz w:val="40"/>
          <w:szCs w:val="40"/>
          <w:lang w:val="en-GB" w:eastAsia="en-GB"/>
        </w:rPr>
        <w:drawing>
          <wp:anchor distT="0" distB="0" distL="114300" distR="114300" simplePos="0" relativeHeight="251678208" behindDoc="0" locked="0" layoutInCell="1" allowOverlap="1" wp14:anchorId="40E37D1B" wp14:editId="72434FEB">
            <wp:simplePos x="0" y="0"/>
            <wp:positionH relativeFrom="column">
              <wp:posOffset>1821180</wp:posOffset>
            </wp:positionH>
            <wp:positionV relativeFrom="paragraph">
              <wp:posOffset>245745</wp:posOffset>
            </wp:positionV>
            <wp:extent cx="960120" cy="985502"/>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0120" cy="985502"/>
                    </a:xfrm>
                    <a:prstGeom prst="rect">
                      <a:avLst/>
                    </a:prstGeom>
                  </pic:spPr>
                </pic:pic>
              </a:graphicData>
            </a:graphic>
          </wp:anchor>
        </w:drawing>
      </w:r>
      <w:r>
        <w:rPr>
          <w:rFonts w:ascii="Neue Machina Ultrabold" w:hAnsi="Neue Machina Ultrabold"/>
          <w:noProof/>
          <w:sz w:val="28"/>
          <w:szCs w:val="28"/>
          <w:lang w:val="en-GB" w:eastAsia="en-GB"/>
        </w:rPr>
        <w:drawing>
          <wp:anchor distT="0" distB="0" distL="114300" distR="114300" simplePos="0" relativeHeight="251667968" behindDoc="0" locked="0" layoutInCell="1" allowOverlap="1" wp14:anchorId="1B5DE5C8" wp14:editId="7C44E36C">
            <wp:simplePos x="0" y="0"/>
            <wp:positionH relativeFrom="column">
              <wp:posOffset>-495300</wp:posOffset>
            </wp:positionH>
            <wp:positionV relativeFrom="paragraph">
              <wp:posOffset>250190</wp:posOffset>
            </wp:positionV>
            <wp:extent cx="1875790" cy="785495"/>
            <wp:effectExtent l="0" t="0" r="0" b="0"/>
            <wp:wrapNone/>
            <wp:docPr id="2" name="Picture 2"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5790" cy="785495"/>
                    </a:xfrm>
                    <a:prstGeom prst="rect">
                      <a:avLst/>
                    </a:prstGeom>
                  </pic:spPr>
                </pic:pic>
              </a:graphicData>
            </a:graphic>
          </wp:anchor>
        </w:drawing>
      </w:r>
      <w:r>
        <w:rPr>
          <w:b/>
          <w:bCs/>
          <w:noProof/>
          <w:sz w:val="52"/>
          <w:szCs w:val="52"/>
          <w:lang w:val="en-GB" w:eastAsia="en-GB"/>
        </w:rPr>
        <w:drawing>
          <wp:anchor distT="0" distB="0" distL="114300" distR="114300" simplePos="0" relativeHeight="251687424" behindDoc="0" locked="0" layoutInCell="1" allowOverlap="1" wp14:anchorId="79D5A828" wp14:editId="14A1058A">
            <wp:simplePos x="0" y="0"/>
            <wp:positionH relativeFrom="column">
              <wp:posOffset>5146040</wp:posOffset>
            </wp:positionH>
            <wp:positionV relativeFrom="paragraph">
              <wp:posOffset>188595</wp:posOffset>
            </wp:positionV>
            <wp:extent cx="1066800" cy="1066800"/>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p>
    <w:p w14:paraId="04748C4E" w14:textId="77777777" w:rsidR="001D4E68" w:rsidRPr="00523C39" w:rsidRDefault="005E312A" w:rsidP="003D4A1D">
      <w:pPr>
        <w:tabs>
          <w:tab w:val="left" w:pos="5160"/>
        </w:tabs>
        <w:spacing w:after="120"/>
        <w:ind w:right="-284"/>
        <w:rPr>
          <w:rFonts w:ascii="Neue Machina Ultrabold" w:hAnsi="Neue Machina Ultrabold" w:cstheme="minorHAnsi"/>
          <w:bCs/>
          <w:sz w:val="40"/>
          <w:szCs w:val="40"/>
        </w:rPr>
      </w:pPr>
      <w:r>
        <w:rPr>
          <w:rFonts w:ascii="Neue Machina Ultrabold" w:hAnsi="Neue Machina Ultrabold" w:cstheme="minorHAnsi"/>
          <w:noProof/>
          <w:sz w:val="40"/>
          <w:szCs w:val="40"/>
          <w:lang w:val="en-GB" w:eastAsia="en-GB"/>
        </w:rPr>
        <w:drawing>
          <wp:anchor distT="0" distB="0" distL="114300" distR="114300" simplePos="0" relativeHeight="251688448" behindDoc="0" locked="0" layoutInCell="1" allowOverlap="1" wp14:anchorId="005E2E1E" wp14:editId="381BE41B">
            <wp:simplePos x="0" y="0"/>
            <wp:positionH relativeFrom="column">
              <wp:posOffset>3170523</wp:posOffset>
            </wp:positionH>
            <wp:positionV relativeFrom="paragraph">
              <wp:posOffset>23495</wp:posOffset>
            </wp:positionV>
            <wp:extent cx="1555750" cy="438320"/>
            <wp:effectExtent l="0" t="0" r="0" b="0"/>
            <wp:wrapNone/>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5750" cy="438320"/>
                    </a:xfrm>
                    <a:prstGeom prst="rect">
                      <a:avLst/>
                    </a:prstGeom>
                  </pic:spPr>
                </pic:pic>
              </a:graphicData>
            </a:graphic>
          </wp:anchor>
        </w:drawing>
      </w:r>
      <w:r>
        <w:rPr>
          <w:rFonts w:ascii="Neue Machina Ultrabold" w:hAnsi="Neue Machina Ultrabold" w:cstheme="minorHAnsi"/>
          <w:sz w:val="40"/>
          <w:szCs w:val="40"/>
          <w:lang w:val="sr"/>
        </w:rPr>
        <w:tab/>
      </w:r>
      <w:r>
        <w:rPr>
          <w:rFonts w:ascii="Neue Machina Ultrabold" w:hAnsi="Neue Machina Ultrabold" w:cstheme="minorHAnsi"/>
          <w:sz w:val="40"/>
          <w:szCs w:val="40"/>
          <w:lang w:val="sr"/>
        </w:rPr>
        <w:tab/>
      </w:r>
      <w:r>
        <w:rPr>
          <w:rFonts w:ascii="Neue Machina Ultrabold" w:hAnsi="Neue Machina Ultrabold" w:cstheme="minorHAnsi"/>
          <w:sz w:val="40"/>
          <w:szCs w:val="40"/>
          <w:lang w:val="sr"/>
        </w:rPr>
        <w:tab/>
      </w:r>
    </w:p>
    <w:p w14:paraId="06373ED7" w14:textId="77777777" w:rsidR="00523C39" w:rsidRDefault="00523C39" w:rsidP="00523C39">
      <w:pPr>
        <w:pStyle w:val="Title"/>
        <w:ind w:left="-426" w:right="-567"/>
        <w:rPr>
          <w:b/>
          <w:bCs/>
          <w:sz w:val="52"/>
          <w:szCs w:val="52"/>
        </w:rPr>
      </w:pPr>
    </w:p>
    <w:p w14:paraId="107281EB" w14:textId="77777777" w:rsidR="00601A8B" w:rsidRDefault="00601A8B" w:rsidP="00601A8B"/>
    <w:p w14:paraId="13EED69C" w14:textId="77777777" w:rsidR="00601A8B" w:rsidRPr="00601A8B" w:rsidRDefault="003D4A1D" w:rsidP="00601A8B">
      <w:r>
        <w:rPr>
          <w:rFonts w:cstheme="minorHAnsi"/>
          <w:b/>
          <w:bCs/>
          <w:noProof/>
          <w:lang w:val="en-GB" w:eastAsia="en-GB"/>
        </w:rPr>
        <w:drawing>
          <wp:anchor distT="0" distB="0" distL="114300" distR="114300" simplePos="0" relativeHeight="251617792" behindDoc="0" locked="0" layoutInCell="1" allowOverlap="1" wp14:anchorId="210AA3EC" wp14:editId="303F5ADE">
            <wp:simplePos x="0" y="0"/>
            <wp:positionH relativeFrom="column">
              <wp:posOffset>-308610</wp:posOffset>
            </wp:positionH>
            <wp:positionV relativeFrom="paragraph">
              <wp:posOffset>200660</wp:posOffset>
            </wp:positionV>
            <wp:extent cx="1971040" cy="704215"/>
            <wp:effectExtent l="0" t="0" r="0" b="635"/>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ZU_logo.tif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71040" cy="704215"/>
                    </a:xfrm>
                    <a:prstGeom prst="rect">
                      <a:avLst/>
                    </a:prstGeom>
                  </pic:spPr>
                </pic:pic>
              </a:graphicData>
            </a:graphic>
          </wp:anchor>
        </w:drawing>
      </w:r>
      <w:r>
        <w:rPr>
          <w:rFonts w:cstheme="minorHAnsi"/>
          <w:b/>
          <w:bCs/>
          <w:noProof/>
          <w:lang w:val="en-GB" w:eastAsia="en-GB"/>
        </w:rPr>
        <w:drawing>
          <wp:anchor distT="0" distB="0" distL="114300" distR="114300" simplePos="0" relativeHeight="251640320" behindDoc="0" locked="0" layoutInCell="1" allowOverlap="1" wp14:anchorId="098DD117" wp14:editId="209B1C0D">
            <wp:simplePos x="0" y="0"/>
            <wp:positionH relativeFrom="margin">
              <wp:posOffset>5142865</wp:posOffset>
            </wp:positionH>
            <wp:positionV relativeFrom="paragraph">
              <wp:posOffset>26035</wp:posOffset>
            </wp:positionV>
            <wp:extent cx="886460" cy="1010920"/>
            <wp:effectExtent l="0" t="0" r="889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6460" cy="1010920"/>
                    </a:xfrm>
                    <a:prstGeom prst="rect">
                      <a:avLst/>
                    </a:prstGeom>
                  </pic:spPr>
                </pic:pic>
              </a:graphicData>
            </a:graphic>
          </wp:anchor>
        </w:drawing>
      </w:r>
    </w:p>
    <w:p w14:paraId="4CABE807" w14:textId="77777777" w:rsidR="00523C39" w:rsidRDefault="003D4A1D" w:rsidP="00626257">
      <w:pPr>
        <w:spacing w:after="120"/>
        <w:ind w:right="-284"/>
        <w:jc w:val="both"/>
        <w:rPr>
          <w:rFonts w:ascii="Neue Machina Ultrabold" w:hAnsi="Neue Machina Ultrabold" w:cstheme="minorHAnsi"/>
          <w:bCs/>
          <w:sz w:val="28"/>
          <w:szCs w:val="28"/>
        </w:rPr>
      </w:pPr>
      <w:r>
        <w:rPr>
          <w:rFonts w:cstheme="minorHAnsi"/>
          <w:b/>
          <w:bCs/>
          <w:noProof/>
          <w:lang w:val="en-GB" w:eastAsia="en-GB"/>
        </w:rPr>
        <w:drawing>
          <wp:anchor distT="0" distB="0" distL="114300" distR="114300" simplePos="0" relativeHeight="251627008" behindDoc="0" locked="0" layoutInCell="1" allowOverlap="1" wp14:anchorId="798FD724" wp14:editId="1E3D77AB">
            <wp:simplePos x="0" y="0"/>
            <wp:positionH relativeFrom="margin">
              <wp:posOffset>2148840</wp:posOffset>
            </wp:positionH>
            <wp:positionV relativeFrom="paragraph">
              <wp:posOffset>99695</wp:posOffset>
            </wp:positionV>
            <wp:extent cx="2255407" cy="392661"/>
            <wp:effectExtent l="0" t="0" r="0" b="762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55407" cy="392661"/>
                    </a:xfrm>
                    <a:prstGeom prst="rect">
                      <a:avLst/>
                    </a:prstGeom>
                  </pic:spPr>
                </pic:pic>
              </a:graphicData>
            </a:graphic>
          </wp:anchor>
        </w:drawing>
      </w:r>
    </w:p>
    <w:p w14:paraId="79F127B6" w14:textId="77777777" w:rsidR="00523C39" w:rsidRDefault="00523C39" w:rsidP="00626257">
      <w:pPr>
        <w:spacing w:after="120"/>
        <w:ind w:right="-284"/>
        <w:jc w:val="both"/>
        <w:rPr>
          <w:rFonts w:ascii="Neue Machina Ultrabold" w:hAnsi="Neue Machina Ultrabold" w:cstheme="minorHAnsi"/>
          <w:bCs/>
          <w:sz w:val="28"/>
          <w:szCs w:val="28"/>
        </w:rPr>
      </w:pPr>
    </w:p>
    <w:p w14:paraId="338D62C9" w14:textId="77777777" w:rsidR="00523C39" w:rsidRDefault="00523C39" w:rsidP="00626257">
      <w:pPr>
        <w:spacing w:after="120"/>
        <w:ind w:right="-284"/>
        <w:jc w:val="both"/>
        <w:rPr>
          <w:rFonts w:ascii="Neue Machina Ultrabold" w:hAnsi="Neue Machina Ultrabold" w:cstheme="minorHAnsi"/>
          <w:bCs/>
          <w:sz w:val="28"/>
          <w:szCs w:val="28"/>
        </w:rPr>
      </w:pPr>
    </w:p>
    <w:p w14:paraId="521381A0" w14:textId="77777777" w:rsidR="00087EB3" w:rsidRDefault="006128F7" w:rsidP="00626257">
      <w:pPr>
        <w:spacing w:after="120"/>
        <w:ind w:right="-284"/>
        <w:jc w:val="both"/>
        <w:rPr>
          <w:rFonts w:ascii="Neue Machina Ultrabold" w:hAnsi="Neue Machina Ultrabold" w:cstheme="minorHAnsi"/>
          <w:bCs/>
          <w:sz w:val="28"/>
          <w:szCs w:val="28"/>
        </w:rPr>
      </w:pPr>
      <w:r>
        <w:rPr>
          <w:rFonts w:ascii="Neue Machina Ultrabold" w:hAnsi="Neue Machina Ultrabold" w:cstheme="minorHAnsi"/>
          <w:noProof/>
          <w:sz w:val="28"/>
          <w:szCs w:val="28"/>
          <w:lang w:val="en-GB" w:eastAsia="en-GB"/>
        </w:rPr>
        <w:drawing>
          <wp:anchor distT="0" distB="0" distL="114300" distR="114300" simplePos="0" relativeHeight="251710976" behindDoc="0" locked="0" layoutInCell="1" allowOverlap="1" wp14:anchorId="37248AB4" wp14:editId="0FE9DBFB">
            <wp:simplePos x="0" y="0"/>
            <wp:positionH relativeFrom="column">
              <wp:posOffset>1531620</wp:posOffset>
            </wp:positionH>
            <wp:positionV relativeFrom="paragraph">
              <wp:posOffset>207728</wp:posOffset>
            </wp:positionV>
            <wp:extent cx="2149651" cy="1019810"/>
            <wp:effectExtent l="0" t="0" r="0" b="0"/>
            <wp:wrapNone/>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49651" cy="1019810"/>
                    </a:xfrm>
                    <a:prstGeom prst="rect">
                      <a:avLst/>
                    </a:prstGeom>
                  </pic:spPr>
                </pic:pic>
              </a:graphicData>
            </a:graphic>
          </wp:anchor>
        </w:drawing>
      </w:r>
      <w:r>
        <w:rPr>
          <w:rFonts w:cstheme="minorHAnsi"/>
          <w:b/>
          <w:bCs/>
          <w:noProof/>
          <w:lang w:val="en-GB" w:eastAsia="en-GB"/>
        </w:rPr>
        <w:drawing>
          <wp:anchor distT="0" distB="0" distL="114300" distR="114300" simplePos="0" relativeHeight="251701760" behindDoc="0" locked="0" layoutInCell="1" allowOverlap="1" wp14:anchorId="19A8F5B1" wp14:editId="01E6420C">
            <wp:simplePos x="0" y="0"/>
            <wp:positionH relativeFrom="column">
              <wp:posOffset>3848100</wp:posOffset>
            </wp:positionH>
            <wp:positionV relativeFrom="paragraph">
              <wp:posOffset>302260</wp:posOffset>
            </wp:positionV>
            <wp:extent cx="944880" cy="818540"/>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44880" cy="818540"/>
                    </a:xfrm>
                    <a:prstGeom prst="rect">
                      <a:avLst/>
                    </a:prstGeom>
                  </pic:spPr>
                </pic:pic>
              </a:graphicData>
            </a:graphic>
          </wp:anchor>
        </w:drawing>
      </w:r>
      <w:r>
        <w:rPr>
          <w:rFonts w:cstheme="minorHAnsi"/>
          <w:b/>
          <w:bCs/>
          <w:noProof/>
          <w:lang w:val="en-GB" w:eastAsia="en-GB"/>
        </w:rPr>
        <w:drawing>
          <wp:anchor distT="0" distB="0" distL="114300" distR="114300" simplePos="0" relativeHeight="251660800" behindDoc="0" locked="0" layoutInCell="1" allowOverlap="1" wp14:anchorId="7980896B" wp14:editId="5324BD84">
            <wp:simplePos x="0" y="0"/>
            <wp:positionH relativeFrom="column">
              <wp:posOffset>5219700</wp:posOffset>
            </wp:positionH>
            <wp:positionV relativeFrom="paragraph">
              <wp:posOffset>140970</wp:posOffset>
            </wp:positionV>
            <wp:extent cx="851535" cy="1112520"/>
            <wp:effectExtent l="0" t="0" r="5715"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51535" cy="1112520"/>
                    </a:xfrm>
                    <a:prstGeom prst="rect">
                      <a:avLst/>
                    </a:prstGeom>
                  </pic:spPr>
                </pic:pic>
              </a:graphicData>
            </a:graphic>
          </wp:anchor>
        </w:drawing>
      </w:r>
    </w:p>
    <w:p w14:paraId="5160B157" w14:textId="77777777" w:rsidR="003D4A1D" w:rsidRDefault="008873B8" w:rsidP="003D4A1D">
      <w:pPr>
        <w:spacing w:after="120"/>
        <w:ind w:left="3540" w:right="-284"/>
        <w:jc w:val="both"/>
        <w:rPr>
          <w:rFonts w:ascii="Neue Machina Ultrabold" w:hAnsi="Neue Machina Ultrabold" w:cstheme="minorHAnsi"/>
          <w:bCs/>
          <w:sz w:val="28"/>
          <w:szCs w:val="28"/>
        </w:rPr>
      </w:pPr>
      <w:r>
        <w:rPr>
          <w:rFonts w:cstheme="minorHAnsi"/>
          <w:b/>
          <w:bCs/>
          <w:noProof/>
          <w:lang w:val="en-GB" w:eastAsia="en-GB"/>
        </w:rPr>
        <w:drawing>
          <wp:anchor distT="0" distB="0" distL="114300" distR="114300" simplePos="0" relativeHeight="251694592" behindDoc="0" locked="0" layoutInCell="1" allowOverlap="1" wp14:anchorId="4387543C" wp14:editId="39B74F20">
            <wp:simplePos x="0" y="0"/>
            <wp:positionH relativeFrom="column">
              <wp:posOffset>-143510</wp:posOffset>
            </wp:positionH>
            <wp:positionV relativeFrom="paragraph">
              <wp:posOffset>218440</wp:posOffset>
            </wp:positionV>
            <wp:extent cx="1524000" cy="38100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1524000" cy="381000"/>
                    </a:xfrm>
                    <a:prstGeom prst="rect">
                      <a:avLst/>
                    </a:prstGeom>
                  </pic:spPr>
                </pic:pic>
              </a:graphicData>
            </a:graphic>
          </wp:anchor>
        </w:drawing>
      </w:r>
    </w:p>
    <w:p w14:paraId="058024C2" w14:textId="77777777" w:rsidR="00087EB3" w:rsidRDefault="00087EB3" w:rsidP="003D4A1D">
      <w:pPr>
        <w:spacing w:after="120"/>
        <w:ind w:left="3540" w:right="-284"/>
        <w:jc w:val="both"/>
        <w:rPr>
          <w:rFonts w:ascii="Neue Machina Ultrabold" w:hAnsi="Neue Machina Ultrabold" w:cstheme="minorHAnsi"/>
          <w:bCs/>
          <w:sz w:val="28"/>
          <w:szCs w:val="28"/>
        </w:rPr>
      </w:pPr>
    </w:p>
    <w:p w14:paraId="200EEB43" w14:textId="77777777" w:rsidR="00087EB3" w:rsidRDefault="00087EB3" w:rsidP="00626257">
      <w:pPr>
        <w:spacing w:after="120"/>
        <w:ind w:right="-284"/>
        <w:jc w:val="both"/>
        <w:rPr>
          <w:rFonts w:ascii="Neue Machina Ultrabold" w:hAnsi="Neue Machina Ultrabold" w:cstheme="minorHAnsi"/>
          <w:bCs/>
          <w:sz w:val="28"/>
          <w:szCs w:val="28"/>
        </w:rPr>
      </w:pPr>
    </w:p>
    <w:p w14:paraId="7764396F" w14:textId="77777777" w:rsidR="008873B8" w:rsidRDefault="008873B8" w:rsidP="00087EB3">
      <w:pPr>
        <w:spacing w:after="120"/>
        <w:ind w:right="-284"/>
        <w:jc w:val="center"/>
        <w:rPr>
          <w:rFonts w:ascii="Acumin Pro" w:hAnsi="Acumin Pro" w:cstheme="minorHAnsi"/>
          <w:bCs/>
        </w:rPr>
      </w:pPr>
    </w:p>
    <w:p w14:paraId="5AFC5E32" w14:textId="77777777" w:rsidR="004F4DFA" w:rsidRPr="004F4DFA" w:rsidRDefault="004F4DFA" w:rsidP="00E507C0">
      <w:pPr>
        <w:spacing w:after="120"/>
        <w:ind w:right="-284"/>
        <w:jc w:val="center"/>
        <w:rPr>
          <w:rFonts w:asciiTheme="minorHAnsi" w:hAnsiTheme="minorHAnsi" w:cstheme="minorHAnsi"/>
          <w:bCs/>
          <w:lang w:val="sr-Cyrl-RS"/>
        </w:rPr>
      </w:pPr>
    </w:p>
    <w:p w14:paraId="1EB67C35" w14:textId="77777777" w:rsidR="005E55DB" w:rsidRDefault="00087EB3" w:rsidP="00E507C0">
      <w:pPr>
        <w:spacing w:after="120"/>
        <w:ind w:right="-284"/>
        <w:jc w:val="center"/>
        <w:rPr>
          <w:rFonts w:asciiTheme="minorHAnsi" w:hAnsiTheme="minorHAnsi" w:cstheme="minorHAnsi"/>
          <w:lang w:val="sr-Cyrl-RS"/>
        </w:rPr>
      </w:pPr>
      <w:r>
        <w:rPr>
          <w:rFonts w:ascii="Acumin Pro" w:hAnsi="Acumin Pro" w:cstheme="minorHAnsi"/>
          <w:lang w:val="sr"/>
        </w:rPr>
        <w:t>јануар 2021.</w:t>
      </w:r>
    </w:p>
    <w:p w14:paraId="59C7C123" w14:textId="77777777" w:rsidR="004F4DFA" w:rsidRDefault="004F4DFA" w:rsidP="00E507C0">
      <w:pPr>
        <w:spacing w:after="120"/>
        <w:ind w:right="-284"/>
        <w:jc w:val="center"/>
        <w:rPr>
          <w:rFonts w:asciiTheme="minorHAnsi" w:hAnsiTheme="minorHAnsi" w:cstheme="minorHAnsi"/>
          <w:lang w:val="sr-Cyrl-RS"/>
        </w:rPr>
      </w:pPr>
    </w:p>
    <w:p w14:paraId="5F494B48" w14:textId="77777777" w:rsidR="004F4DFA" w:rsidRPr="004F4DFA" w:rsidRDefault="004F4DFA" w:rsidP="00E507C0">
      <w:pPr>
        <w:spacing w:after="120"/>
        <w:ind w:right="-284"/>
        <w:jc w:val="center"/>
        <w:rPr>
          <w:rFonts w:asciiTheme="minorHAnsi" w:hAnsiTheme="minorHAnsi" w:cstheme="minorHAnsi"/>
          <w:bCs/>
          <w:lang w:val="sr-Cyrl-RS"/>
        </w:rPr>
      </w:pPr>
    </w:p>
    <w:sdt>
      <w:sdtPr>
        <w:rPr>
          <w:rFonts w:ascii="Calibri" w:eastAsia="Calibri" w:hAnsi="Calibri" w:cs="Calibri"/>
          <w:color w:val="auto"/>
          <w:sz w:val="22"/>
          <w:szCs w:val="22"/>
          <w:lang w:eastAsia="sr-Latn-RS"/>
        </w:rPr>
        <w:id w:val="-803921572"/>
        <w:docPartObj>
          <w:docPartGallery w:val="Table of Contents"/>
          <w:docPartUnique/>
        </w:docPartObj>
      </w:sdtPr>
      <w:sdtEndPr>
        <w:rPr>
          <w:b/>
          <w:bCs/>
          <w:noProof/>
        </w:rPr>
      </w:sdtEndPr>
      <w:sdtContent>
        <w:p w14:paraId="19D9F4C2" w14:textId="77777777" w:rsidR="00623E84" w:rsidRDefault="00623E84">
          <w:pPr>
            <w:pStyle w:val="TOCHeading"/>
            <w:rPr>
              <w:rFonts w:ascii="Calibri" w:eastAsia="Calibri" w:hAnsi="Calibri" w:cs="Calibri"/>
              <w:color w:val="auto"/>
              <w:sz w:val="22"/>
              <w:szCs w:val="22"/>
            </w:rPr>
          </w:pPr>
        </w:p>
        <w:p w14:paraId="598F63A8" w14:textId="77777777" w:rsidR="00273887" w:rsidRPr="00AC3BDF" w:rsidRDefault="00273887">
          <w:pPr>
            <w:pStyle w:val="TOCHeading"/>
            <w:rPr>
              <w:rFonts w:ascii="Neue Machina Ultrabold" w:hAnsi="Neue Machina Ultrabold" w:cstheme="minorHAnsi"/>
              <w:color w:val="auto"/>
            </w:rPr>
          </w:pPr>
          <w:r>
            <w:rPr>
              <w:rFonts w:ascii="Neue Machina Ultrabold" w:hAnsi="Neue Machina Ultrabold" w:cstheme="minorHAnsi"/>
              <w:color w:val="auto"/>
              <w:lang w:val="sr"/>
            </w:rPr>
            <w:t>САДРЖАЈ</w:t>
          </w:r>
        </w:p>
        <w:p w14:paraId="6CEF122C" w14:textId="77777777" w:rsidR="00273887" w:rsidRPr="00F07ED0" w:rsidRDefault="00273887" w:rsidP="00273887">
          <w:pPr>
            <w:rPr>
              <w:rFonts w:asciiTheme="minorHAnsi" w:hAnsiTheme="minorHAnsi" w:cstheme="minorHAnsi"/>
            </w:rPr>
          </w:pPr>
        </w:p>
        <w:p w14:paraId="2A9922A3" w14:textId="77777777" w:rsidR="004F4DFA" w:rsidRDefault="00273887">
          <w:pPr>
            <w:pStyle w:val="TOC1"/>
            <w:tabs>
              <w:tab w:val="right" w:leader="dot" w:pos="9016"/>
            </w:tabs>
            <w:rPr>
              <w:rFonts w:asciiTheme="minorHAnsi" w:eastAsiaTheme="minorEastAsia" w:hAnsiTheme="minorHAnsi" w:cstheme="minorBidi"/>
              <w:noProof/>
              <w:sz w:val="22"/>
              <w:szCs w:val="22"/>
              <w:lang w:val="en-GB" w:eastAsia="en-GB"/>
            </w:rPr>
          </w:pPr>
          <w:r>
            <w:rPr>
              <w:rFonts w:cstheme="minorHAnsi"/>
              <w:lang w:val="sr"/>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93918916" w:history="1">
            <w:r w:rsidR="004F4DFA" w:rsidRPr="00AF56BB">
              <w:rPr>
                <w:rStyle w:val="Hyperlink"/>
                <w:rFonts w:ascii="Neue Machina Ultrabold" w:hAnsi="Neue Machina Ultrabold"/>
                <w:noProof/>
                <w:highlight w:val="red"/>
                <w:lang w:val="sr"/>
              </w:rPr>
              <w:t>УВОД</w:t>
            </w:r>
            <w:r w:rsidR="004F4DFA">
              <w:rPr>
                <w:noProof/>
                <w:webHidden/>
              </w:rPr>
              <w:tab/>
            </w:r>
            <w:r w:rsidR="004F4DFA">
              <w:rPr>
                <w:noProof/>
                <w:webHidden/>
              </w:rPr>
              <w:fldChar w:fldCharType="begin"/>
            </w:r>
            <w:r w:rsidR="004F4DFA">
              <w:rPr>
                <w:noProof/>
                <w:webHidden/>
              </w:rPr>
              <w:instrText xml:space="preserve"> PAGEREF _Toc93918916 \h </w:instrText>
            </w:r>
            <w:r w:rsidR="004F4DFA">
              <w:rPr>
                <w:noProof/>
                <w:webHidden/>
              </w:rPr>
            </w:r>
            <w:r w:rsidR="004F4DFA">
              <w:rPr>
                <w:noProof/>
                <w:webHidden/>
              </w:rPr>
              <w:fldChar w:fldCharType="separate"/>
            </w:r>
            <w:r w:rsidR="004F4DFA">
              <w:rPr>
                <w:noProof/>
                <w:webHidden/>
              </w:rPr>
              <w:t>2</w:t>
            </w:r>
            <w:r w:rsidR="004F4DFA">
              <w:rPr>
                <w:noProof/>
                <w:webHidden/>
              </w:rPr>
              <w:fldChar w:fldCharType="end"/>
            </w:r>
          </w:hyperlink>
        </w:p>
        <w:p w14:paraId="4FD29C68" w14:textId="77777777" w:rsidR="004F4DFA" w:rsidRDefault="00CF1C0B">
          <w:pPr>
            <w:pStyle w:val="TOC1"/>
            <w:tabs>
              <w:tab w:val="right" w:leader="dot" w:pos="9016"/>
            </w:tabs>
            <w:rPr>
              <w:rFonts w:asciiTheme="minorHAnsi" w:eastAsiaTheme="minorEastAsia" w:hAnsiTheme="minorHAnsi" w:cstheme="minorBidi"/>
              <w:noProof/>
              <w:sz w:val="22"/>
              <w:szCs w:val="22"/>
              <w:lang w:val="en-GB" w:eastAsia="en-GB"/>
            </w:rPr>
          </w:pPr>
          <w:hyperlink w:anchor="_Toc93918917" w:history="1">
            <w:r w:rsidR="004F4DFA" w:rsidRPr="00AF56BB">
              <w:rPr>
                <w:rStyle w:val="Hyperlink"/>
                <w:rFonts w:ascii="Neue Machina Ultrabold" w:hAnsi="Neue Machina Ultrabold"/>
                <w:noProof/>
                <w:highlight w:val="red"/>
                <w:lang w:val="sr"/>
              </w:rPr>
              <w:t>ОПШТЕ ИНФОРМАЦИЈЕ</w:t>
            </w:r>
            <w:r w:rsidR="004F4DFA">
              <w:rPr>
                <w:noProof/>
                <w:webHidden/>
              </w:rPr>
              <w:tab/>
            </w:r>
            <w:r w:rsidR="004F4DFA">
              <w:rPr>
                <w:noProof/>
                <w:webHidden/>
              </w:rPr>
              <w:fldChar w:fldCharType="begin"/>
            </w:r>
            <w:r w:rsidR="004F4DFA">
              <w:rPr>
                <w:noProof/>
                <w:webHidden/>
              </w:rPr>
              <w:instrText xml:space="preserve"> PAGEREF _Toc93918917 \h </w:instrText>
            </w:r>
            <w:r w:rsidR="004F4DFA">
              <w:rPr>
                <w:noProof/>
                <w:webHidden/>
              </w:rPr>
            </w:r>
            <w:r w:rsidR="004F4DFA">
              <w:rPr>
                <w:noProof/>
                <w:webHidden/>
              </w:rPr>
              <w:fldChar w:fldCharType="separate"/>
            </w:r>
            <w:r w:rsidR="004F4DFA">
              <w:rPr>
                <w:noProof/>
                <w:webHidden/>
              </w:rPr>
              <w:t>2</w:t>
            </w:r>
            <w:r w:rsidR="004F4DFA">
              <w:rPr>
                <w:noProof/>
                <w:webHidden/>
              </w:rPr>
              <w:fldChar w:fldCharType="end"/>
            </w:r>
          </w:hyperlink>
        </w:p>
        <w:p w14:paraId="5DC72FC6" w14:textId="77777777" w:rsidR="004F4DFA" w:rsidRDefault="00CF1C0B">
          <w:pPr>
            <w:pStyle w:val="TOC2"/>
            <w:tabs>
              <w:tab w:val="right" w:leader="dot" w:pos="9016"/>
            </w:tabs>
            <w:rPr>
              <w:rFonts w:asciiTheme="minorHAnsi" w:eastAsiaTheme="minorEastAsia" w:hAnsiTheme="minorHAnsi" w:cstheme="minorBidi"/>
              <w:noProof/>
              <w:sz w:val="22"/>
              <w:szCs w:val="22"/>
              <w:lang w:val="en-GB" w:eastAsia="en-GB"/>
            </w:rPr>
          </w:pPr>
          <w:hyperlink w:anchor="_Toc93918918" w:history="1">
            <w:r w:rsidR="004F4DFA" w:rsidRPr="00AF56BB">
              <w:rPr>
                <w:rStyle w:val="Hyperlink"/>
                <w:rFonts w:ascii="Acumin Pro" w:hAnsi="Acumin Pro"/>
                <w:b/>
                <w:bCs/>
                <w:noProof/>
                <w:lang w:val="sr"/>
              </w:rPr>
              <w:t>УТУЖИВОСТ ЕКОНОМСКИХ, СОЦИЈАЛНИХ И КУЛТУРНИХ ПРАВА</w:t>
            </w:r>
            <w:r w:rsidR="004F4DFA">
              <w:rPr>
                <w:noProof/>
                <w:webHidden/>
              </w:rPr>
              <w:tab/>
            </w:r>
            <w:r w:rsidR="004F4DFA">
              <w:rPr>
                <w:noProof/>
                <w:webHidden/>
              </w:rPr>
              <w:fldChar w:fldCharType="begin"/>
            </w:r>
            <w:r w:rsidR="004F4DFA">
              <w:rPr>
                <w:noProof/>
                <w:webHidden/>
              </w:rPr>
              <w:instrText xml:space="preserve"> PAGEREF _Toc93918918 \h </w:instrText>
            </w:r>
            <w:r w:rsidR="004F4DFA">
              <w:rPr>
                <w:noProof/>
                <w:webHidden/>
              </w:rPr>
            </w:r>
            <w:r w:rsidR="004F4DFA">
              <w:rPr>
                <w:noProof/>
                <w:webHidden/>
              </w:rPr>
              <w:fldChar w:fldCharType="separate"/>
            </w:r>
            <w:r w:rsidR="004F4DFA">
              <w:rPr>
                <w:noProof/>
                <w:webHidden/>
              </w:rPr>
              <w:t>2</w:t>
            </w:r>
            <w:r w:rsidR="004F4DFA">
              <w:rPr>
                <w:noProof/>
                <w:webHidden/>
              </w:rPr>
              <w:fldChar w:fldCharType="end"/>
            </w:r>
          </w:hyperlink>
        </w:p>
        <w:p w14:paraId="3D80B1A5" w14:textId="77777777" w:rsidR="004F4DFA" w:rsidRDefault="00CF1C0B">
          <w:pPr>
            <w:pStyle w:val="TOC2"/>
            <w:tabs>
              <w:tab w:val="right" w:leader="dot" w:pos="9016"/>
            </w:tabs>
            <w:rPr>
              <w:rFonts w:asciiTheme="minorHAnsi" w:eastAsiaTheme="minorEastAsia" w:hAnsiTheme="minorHAnsi" w:cstheme="minorBidi"/>
              <w:noProof/>
              <w:sz w:val="22"/>
              <w:szCs w:val="22"/>
              <w:lang w:val="en-GB" w:eastAsia="en-GB"/>
            </w:rPr>
          </w:pPr>
          <w:hyperlink w:anchor="_Toc93918919" w:history="1">
            <w:r w:rsidR="004F4DFA" w:rsidRPr="00AF56BB">
              <w:rPr>
                <w:rStyle w:val="Hyperlink"/>
                <w:rFonts w:ascii="Acumin Pro" w:hAnsi="Acumin Pro"/>
                <w:b/>
                <w:bCs/>
                <w:noProof/>
                <w:lang w:val="sr"/>
              </w:rPr>
              <w:t>РАТИФИКАЦИЈА ОПЦИОНОГ ПРОТОКОЛА</w:t>
            </w:r>
            <w:r w:rsidR="004F4DFA">
              <w:rPr>
                <w:noProof/>
                <w:webHidden/>
              </w:rPr>
              <w:tab/>
            </w:r>
            <w:r w:rsidR="004F4DFA">
              <w:rPr>
                <w:noProof/>
                <w:webHidden/>
              </w:rPr>
              <w:fldChar w:fldCharType="begin"/>
            </w:r>
            <w:r w:rsidR="004F4DFA">
              <w:rPr>
                <w:noProof/>
                <w:webHidden/>
              </w:rPr>
              <w:instrText xml:space="preserve"> PAGEREF _Toc93918919 \h </w:instrText>
            </w:r>
            <w:r w:rsidR="004F4DFA">
              <w:rPr>
                <w:noProof/>
                <w:webHidden/>
              </w:rPr>
            </w:r>
            <w:r w:rsidR="004F4DFA">
              <w:rPr>
                <w:noProof/>
                <w:webHidden/>
              </w:rPr>
              <w:fldChar w:fldCharType="separate"/>
            </w:r>
            <w:r w:rsidR="004F4DFA">
              <w:rPr>
                <w:noProof/>
                <w:webHidden/>
              </w:rPr>
              <w:t>4</w:t>
            </w:r>
            <w:r w:rsidR="004F4DFA">
              <w:rPr>
                <w:noProof/>
                <w:webHidden/>
              </w:rPr>
              <w:fldChar w:fldCharType="end"/>
            </w:r>
          </w:hyperlink>
        </w:p>
        <w:p w14:paraId="0D2BE44E" w14:textId="77777777" w:rsidR="004F4DFA" w:rsidRDefault="00CF1C0B">
          <w:pPr>
            <w:pStyle w:val="TOC2"/>
            <w:tabs>
              <w:tab w:val="right" w:leader="dot" w:pos="9016"/>
            </w:tabs>
            <w:rPr>
              <w:rFonts w:asciiTheme="minorHAnsi" w:eastAsiaTheme="minorEastAsia" w:hAnsiTheme="minorHAnsi" w:cstheme="minorBidi"/>
              <w:noProof/>
              <w:sz w:val="22"/>
              <w:szCs w:val="22"/>
              <w:lang w:val="en-GB" w:eastAsia="en-GB"/>
            </w:rPr>
          </w:pPr>
          <w:hyperlink w:anchor="_Toc93918920" w:history="1">
            <w:r w:rsidR="004F4DFA" w:rsidRPr="00AF56BB">
              <w:rPr>
                <w:rStyle w:val="Hyperlink"/>
                <w:rFonts w:ascii="Acumin Pro" w:hAnsi="Acumin Pro"/>
                <w:b/>
                <w:bCs/>
                <w:noProof/>
                <w:lang w:val="sr"/>
              </w:rPr>
              <w:t>ЕФИКАСНО СПРОВОЂЕЊЕ БЕСПЛАТНЕ ПРАВНЕ ПОМОЋИ</w:t>
            </w:r>
            <w:r w:rsidR="004F4DFA">
              <w:rPr>
                <w:noProof/>
                <w:webHidden/>
              </w:rPr>
              <w:tab/>
            </w:r>
            <w:r w:rsidR="004F4DFA">
              <w:rPr>
                <w:noProof/>
                <w:webHidden/>
              </w:rPr>
              <w:fldChar w:fldCharType="begin"/>
            </w:r>
            <w:r w:rsidR="004F4DFA">
              <w:rPr>
                <w:noProof/>
                <w:webHidden/>
              </w:rPr>
              <w:instrText xml:space="preserve"> PAGEREF _Toc93918920 \h </w:instrText>
            </w:r>
            <w:r w:rsidR="004F4DFA">
              <w:rPr>
                <w:noProof/>
                <w:webHidden/>
              </w:rPr>
            </w:r>
            <w:r w:rsidR="004F4DFA">
              <w:rPr>
                <w:noProof/>
                <w:webHidden/>
              </w:rPr>
              <w:fldChar w:fldCharType="separate"/>
            </w:r>
            <w:r w:rsidR="004F4DFA">
              <w:rPr>
                <w:noProof/>
                <w:webHidden/>
              </w:rPr>
              <w:t>5</w:t>
            </w:r>
            <w:r w:rsidR="004F4DFA">
              <w:rPr>
                <w:noProof/>
                <w:webHidden/>
              </w:rPr>
              <w:fldChar w:fldCharType="end"/>
            </w:r>
          </w:hyperlink>
        </w:p>
        <w:p w14:paraId="67E2443F" w14:textId="77777777" w:rsidR="004F4DFA" w:rsidRDefault="00CF1C0B">
          <w:pPr>
            <w:pStyle w:val="TOC2"/>
            <w:tabs>
              <w:tab w:val="right" w:leader="dot" w:pos="9016"/>
            </w:tabs>
            <w:rPr>
              <w:rFonts w:asciiTheme="minorHAnsi" w:eastAsiaTheme="minorEastAsia" w:hAnsiTheme="minorHAnsi" w:cstheme="minorBidi"/>
              <w:noProof/>
              <w:sz w:val="22"/>
              <w:szCs w:val="22"/>
              <w:lang w:val="en-GB" w:eastAsia="en-GB"/>
            </w:rPr>
          </w:pPr>
          <w:hyperlink w:anchor="_Toc93918921" w:history="1">
            <w:r w:rsidR="004F4DFA" w:rsidRPr="00AF56BB">
              <w:rPr>
                <w:rStyle w:val="Hyperlink"/>
                <w:rFonts w:ascii="Acumin Pro" w:hAnsi="Acumin Pro"/>
                <w:b/>
                <w:bCs/>
                <w:noProof/>
                <w:lang w:val="sr"/>
              </w:rPr>
              <w:t>ДИСКРИМИНАЦИЈА</w:t>
            </w:r>
            <w:r w:rsidR="004F4DFA">
              <w:rPr>
                <w:noProof/>
                <w:webHidden/>
              </w:rPr>
              <w:tab/>
            </w:r>
            <w:r w:rsidR="004F4DFA">
              <w:rPr>
                <w:noProof/>
                <w:webHidden/>
              </w:rPr>
              <w:fldChar w:fldCharType="begin"/>
            </w:r>
            <w:r w:rsidR="004F4DFA">
              <w:rPr>
                <w:noProof/>
                <w:webHidden/>
              </w:rPr>
              <w:instrText xml:space="preserve"> PAGEREF _Toc93918921 \h </w:instrText>
            </w:r>
            <w:r w:rsidR="004F4DFA">
              <w:rPr>
                <w:noProof/>
                <w:webHidden/>
              </w:rPr>
            </w:r>
            <w:r w:rsidR="004F4DFA">
              <w:rPr>
                <w:noProof/>
                <w:webHidden/>
              </w:rPr>
              <w:fldChar w:fldCharType="separate"/>
            </w:r>
            <w:r w:rsidR="004F4DFA">
              <w:rPr>
                <w:noProof/>
                <w:webHidden/>
              </w:rPr>
              <w:t>5</w:t>
            </w:r>
            <w:r w:rsidR="004F4DFA">
              <w:rPr>
                <w:noProof/>
                <w:webHidden/>
              </w:rPr>
              <w:fldChar w:fldCharType="end"/>
            </w:r>
          </w:hyperlink>
        </w:p>
        <w:p w14:paraId="6E6122C4" w14:textId="77777777" w:rsidR="004F4DFA" w:rsidRDefault="00CF1C0B">
          <w:pPr>
            <w:pStyle w:val="TOC1"/>
            <w:tabs>
              <w:tab w:val="right" w:leader="dot" w:pos="9016"/>
            </w:tabs>
            <w:rPr>
              <w:rFonts w:asciiTheme="minorHAnsi" w:eastAsiaTheme="minorEastAsia" w:hAnsiTheme="minorHAnsi" w:cstheme="minorBidi"/>
              <w:noProof/>
              <w:sz w:val="22"/>
              <w:szCs w:val="22"/>
              <w:lang w:val="en-GB" w:eastAsia="en-GB"/>
            </w:rPr>
          </w:pPr>
          <w:hyperlink w:anchor="_Toc93918922" w:history="1">
            <w:r w:rsidR="004F4DFA" w:rsidRPr="00AF56BB">
              <w:rPr>
                <w:rStyle w:val="Hyperlink"/>
                <w:rFonts w:ascii="Neue Machina Ultrabold" w:hAnsi="Neue Machina Ultrabold"/>
                <w:noProof/>
                <w:highlight w:val="red"/>
                <w:lang w:val="sr"/>
              </w:rPr>
              <w:t>ПИТАЊА КОЈА СЕ ОДНОСЕ НА ПОСЕБНЕ ОДРЕДБЕ ПАКТА (ЧЛАНОВИ 6–15)</w:t>
            </w:r>
            <w:r w:rsidR="004F4DFA">
              <w:rPr>
                <w:noProof/>
                <w:webHidden/>
              </w:rPr>
              <w:tab/>
            </w:r>
            <w:r w:rsidR="004F4DFA">
              <w:rPr>
                <w:noProof/>
                <w:webHidden/>
              </w:rPr>
              <w:fldChar w:fldCharType="begin"/>
            </w:r>
            <w:r w:rsidR="004F4DFA">
              <w:rPr>
                <w:noProof/>
                <w:webHidden/>
              </w:rPr>
              <w:instrText xml:space="preserve"> PAGEREF _Toc93918922 \h </w:instrText>
            </w:r>
            <w:r w:rsidR="004F4DFA">
              <w:rPr>
                <w:noProof/>
                <w:webHidden/>
              </w:rPr>
            </w:r>
            <w:r w:rsidR="004F4DFA">
              <w:rPr>
                <w:noProof/>
                <w:webHidden/>
              </w:rPr>
              <w:fldChar w:fldCharType="separate"/>
            </w:r>
            <w:r w:rsidR="004F4DFA">
              <w:rPr>
                <w:noProof/>
                <w:webHidden/>
              </w:rPr>
              <w:t>7</w:t>
            </w:r>
            <w:r w:rsidR="004F4DFA">
              <w:rPr>
                <w:noProof/>
                <w:webHidden/>
              </w:rPr>
              <w:fldChar w:fldCharType="end"/>
            </w:r>
          </w:hyperlink>
        </w:p>
        <w:p w14:paraId="1F7F990A" w14:textId="77777777" w:rsidR="004F4DFA" w:rsidRDefault="00CF1C0B">
          <w:pPr>
            <w:pStyle w:val="TOC2"/>
            <w:tabs>
              <w:tab w:val="right" w:leader="dot" w:pos="9016"/>
            </w:tabs>
            <w:rPr>
              <w:rFonts w:asciiTheme="minorHAnsi" w:eastAsiaTheme="minorEastAsia" w:hAnsiTheme="minorHAnsi" w:cstheme="minorBidi"/>
              <w:noProof/>
              <w:sz w:val="22"/>
              <w:szCs w:val="22"/>
              <w:lang w:val="en-GB" w:eastAsia="en-GB"/>
            </w:rPr>
          </w:pPr>
          <w:hyperlink w:anchor="_Toc93918923" w:history="1">
            <w:r w:rsidR="004F4DFA" w:rsidRPr="00AF56BB">
              <w:rPr>
                <w:rStyle w:val="Hyperlink"/>
                <w:rFonts w:ascii="Acumin Pro" w:hAnsi="Acumin Pro"/>
                <w:b/>
                <w:bCs/>
                <w:noProof/>
                <w:lang w:val="sr"/>
              </w:rPr>
              <w:t>ЧЛАН 6 – ПРАВО НА РАД</w:t>
            </w:r>
            <w:r w:rsidR="004F4DFA">
              <w:rPr>
                <w:noProof/>
                <w:webHidden/>
              </w:rPr>
              <w:tab/>
            </w:r>
            <w:r w:rsidR="004F4DFA">
              <w:rPr>
                <w:noProof/>
                <w:webHidden/>
              </w:rPr>
              <w:fldChar w:fldCharType="begin"/>
            </w:r>
            <w:r w:rsidR="004F4DFA">
              <w:rPr>
                <w:noProof/>
                <w:webHidden/>
              </w:rPr>
              <w:instrText xml:space="preserve"> PAGEREF _Toc93918923 \h </w:instrText>
            </w:r>
            <w:r w:rsidR="004F4DFA">
              <w:rPr>
                <w:noProof/>
                <w:webHidden/>
              </w:rPr>
            </w:r>
            <w:r w:rsidR="004F4DFA">
              <w:rPr>
                <w:noProof/>
                <w:webHidden/>
              </w:rPr>
              <w:fldChar w:fldCharType="separate"/>
            </w:r>
            <w:r w:rsidR="004F4DFA">
              <w:rPr>
                <w:noProof/>
                <w:webHidden/>
              </w:rPr>
              <w:t>7</w:t>
            </w:r>
            <w:r w:rsidR="004F4DFA">
              <w:rPr>
                <w:noProof/>
                <w:webHidden/>
              </w:rPr>
              <w:fldChar w:fldCharType="end"/>
            </w:r>
          </w:hyperlink>
        </w:p>
        <w:p w14:paraId="7D1ED465" w14:textId="77777777" w:rsidR="004F4DFA" w:rsidRDefault="00CF1C0B">
          <w:pPr>
            <w:pStyle w:val="TOC3"/>
            <w:tabs>
              <w:tab w:val="right" w:leader="dot" w:pos="9016"/>
            </w:tabs>
            <w:rPr>
              <w:rFonts w:asciiTheme="minorHAnsi" w:eastAsiaTheme="minorEastAsia" w:hAnsiTheme="minorHAnsi" w:cstheme="minorBidi"/>
              <w:noProof/>
              <w:sz w:val="22"/>
              <w:szCs w:val="22"/>
              <w:lang w:val="en-GB" w:eastAsia="en-GB"/>
            </w:rPr>
          </w:pPr>
          <w:hyperlink w:anchor="_Toc93918924" w:history="1">
            <w:r w:rsidR="004F4DFA" w:rsidRPr="00AF56BB">
              <w:rPr>
                <w:rStyle w:val="Hyperlink"/>
                <w:rFonts w:ascii="Acumin Pro" w:hAnsi="Acumin Pro"/>
                <w:b/>
                <w:bCs/>
                <w:noProof/>
                <w:lang w:val="sr"/>
              </w:rPr>
              <w:t>Недостатак заштитних механизама за жртве радне експлоатације – случај 400 вијетнамских радника ангажованих на изградњи фабрике гума „Линглонг”</w:t>
            </w:r>
            <w:r w:rsidR="004F4DFA">
              <w:rPr>
                <w:noProof/>
                <w:webHidden/>
              </w:rPr>
              <w:tab/>
            </w:r>
            <w:r w:rsidR="004F4DFA">
              <w:rPr>
                <w:noProof/>
                <w:webHidden/>
              </w:rPr>
              <w:fldChar w:fldCharType="begin"/>
            </w:r>
            <w:r w:rsidR="004F4DFA">
              <w:rPr>
                <w:noProof/>
                <w:webHidden/>
              </w:rPr>
              <w:instrText xml:space="preserve"> PAGEREF _Toc93918924 \h </w:instrText>
            </w:r>
            <w:r w:rsidR="004F4DFA">
              <w:rPr>
                <w:noProof/>
                <w:webHidden/>
              </w:rPr>
            </w:r>
            <w:r w:rsidR="004F4DFA">
              <w:rPr>
                <w:noProof/>
                <w:webHidden/>
              </w:rPr>
              <w:fldChar w:fldCharType="separate"/>
            </w:r>
            <w:r w:rsidR="004F4DFA">
              <w:rPr>
                <w:noProof/>
                <w:webHidden/>
              </w:rPr>
              <w:t>7</w:t>
            </w:r>
            <w:r w:rsidR="004F4DFA">
              <w:rPr>
                <w:noProof/>
                <w:webHidden/>
              </w:rPr>
              <w:fldChar w:fldCharType="end"/>
            </w:r>
          </w:hyperlink>
        </w:p>
        <w:p w14:paraId="22C716A3" w14:textId="77777777" w:rsidR="004F4DFA" w:rsidRDefault="00CF1C0B">
          <w:pPr>
            <w:pStyle w:val="TOC3"/>
            <w:tabs>
              <w:tab w:val="right" w:leader="dot" w:pos="9016"/>
            </w:tabs>
            <w:rPr>
              <w:rFonts w:asciiTheme="minorHAnsi" w:eastAsiaTheme="minorEastAsia" w:hAnsiTheme="minorHAnsi" w:cstheme="minorBidi"/>
              <w:noProof/>
              <w:sz w:val="22"/>
              <w:szCs w:val="22"/>
              <w:lang w:val="en-GB" w:eastAsia="en-GB"/>
            </w:rPr>
          </w:pPr>
          <w:hyperlink w:anchor="_Toc93918925" w:history="1">
            <w:r w:rsidR="004F4DFA" w:rsidRPr="00AF56BB">
              <w:rPr>
                <w:rStyle w:val="Hyperlink"/>
                <w:rFonts w:ascii="Acumin Pro" w:hAnsi="Acumin Pro"/>
                <w:b/>
                <w:bCs/>
                <w:noProof/>
                <w:lang w:val="sr"/>
              </w:rPr>
              <w:t>Запошљавање младих</w:t>
            </w:r>
            <w:r w:rsidR="004F4DFA">
              <w:rPr>
                <w:noProof/>
                <w:webHidden/>
              </w:rPr>
              <w:tab/>
            </w:r>
            <w:r w:rsidR="004F4DFA">
              <w:rPr>
                <w:noProof/>
                <w:webHidden/>
              </w:rPr>
              <w:fldChar w:fldCharType="begin"/>
            </w:r>
            <w:r w:rsidR="004F4DFA">
              <w:rPr>
                <w:noProof/>
                <w:webHidden/>
              </w:rPr>
              <w:instrText xml:space="preserve"> PAGEREF _Toc93918925 \h </w:instrText>
            </w:r>
            <w:r w:rsidR="004F4DFA">
              <w:rPr>
                <w:noProof/>
                <w:webHidden/>
              </w:rPr>
            </w:r>
            <w:r w:rsidR="004F4DFA">
              <w:rPr>
                <w:noProof/>
                <w:webHidden/>
              </w:rPr>
              <w:fldChar w:fldCharType="separate"/>
            </w:r>
            <w:r w:rsidR="004F4DFA">
              <w:rPr>
                <w:noProof/>
                <w:webHidden/>
              </w:rPr>
              <w:t>8</w:t>
            </w:r>
            <w:r w:rsidR="004F4DFA">
              <w:rPr>
                <w:noProof/>
                <w:webHidden/>
              </w:rPr>
              <w:fldChar w:fldCharType="end"/>
            </w:r>
          </w:hyperlink>
        </w:p>
        <w:p w14:paraId="4ABC2D14" w14:textId="77777777" w:rsidR="004F4DFA" w:rsidRDefault="00CF1C0B">
          <w:pPr>
            <w:pStyle w:val="TOC2"/>
            <w:tabs>
              <w:tab w:val="right" w:leader="dot" w:pos="9016"/>
            </w:tabs>
            <w:rPr>
              <w:rFonts w:asciiTheme="minorHAnsi" w:eastAsiaTheme="minorEastAsia" w:hAnsiTheme="minorHAnsi" w:cstheme="minorBidi"/>
              <w:noProof/>
              <w:sz w:val="22"/>
              <w:szCs w:val="22"/>
              <w:lang w:val="en-GB" w:eastAsia="en-GB"/>
            </w:rPr>
          </w:pPr>
          <w:hyperlink w:anchor="_Toc93918926" w:history="1">
            <w:r w:rsidR="004F4DFA" w:rsidRPr="00AF56BB">
              <w:rPr>
                <w:rStyle w:val="Hyperlink"/>
                <w:rFonts w:ascii="Acumin Pro" w:hAnsi="Acumin Pro"/>
                <w:b/>
                <w:bCs/>
                <w:noProof/>
                <w:lang w:val="sr"/>
              </w:rPr>
              <w:t>ЧЛАН 7 – ПРАВИЧНИ И ПОВОЉНИ УСЛОВИ РАДА</w:t>
            </w:r>
            <w:r w:rsidR="004F4DFA">
              <w:rPr>
                <w:noProof/>
                <w:webHidden/>
              </w:rPr>
              <w:tab/>
            </w:r>
            <w:r w:rsidR="004F4DFA">
              <w:rPr>
                <w:noProof/>
                <w:webHidden/>
              </w:rPr>
              <w:fldChar w:fldCharType="begin"/>
            </w:r>
            <w:r w:rsidR="004F4DFA">
              <w:rPr>
                <w:noProof/>
                <w:webHidden/>
              </w:rPr>
              <w:instrText xml:space="preserve"> PAGEREF _Toc93918926 \h </w:instrText>
            </w:r>
            <w:r w:rsidR="004F4DFA">
              <w:rPr>
                <w:noProof/>
                <w:webHidden/>
              </w:rPr>
            </w:r>
            <w:r w:rsidR="004F4DFA">
              <w:rPr>
                <w:noProof/>
                <w:webHidden/>
              </w:rPr>
              <w:fldChar w:fldCharType="separate"/>
            </w:r>
            <w:r w:rsidR="004F4DFA">
              <w:rPr>
                <w:noProof/>
                <w:webHidden/>
              </w:rPr>
              <w:t>9</w:t>
            </w:r>
            <w:r w:rsidR="004F4DFA">
              <w:rPr>
                <w:noProof/>
                <w:webHidden/>
              </w:rPr>
              <w:fldChar w:fldCharType="end"/>
            </w:r>
          </w:hyperlink>
        </w:p>
        <w:p w14:paraId="301A2525" w14:textId="77777777" w:rsidR="004F4DFA" w:rsidRDefault="00CF1C0B">
          <w:pPr>
            <w:pStyle w:val="TOC3"/>
            <w:tabs>
              <w:tab w:val="right" w:leader="dot" w:pos="9016"/>
            </w:tabs>
            <w:rPr>
              <w:rFonts w:asciiTheme="minorHAnsi" w:eastAsiaTheme="minorEastAsia" w:hAnsiTheme="minorHAnsi" w:cstheme="minorBidi"/>
              <w:noProof/>
              <w:sz w:val="22"/>
              <w:szCs w:val="22"/>
              <w:lang w:val="en-GB" w:eastAsia="en-GB"/>
            </w:rPr>
          </w:pPr>
          <w:hyperlink w:anchor="_Toc93918927" w:history="1">
            <w:r w:rsidR="004F4DFA" w:rsidRPr="00AF56BB">
              <w:rPr>
                <w:rStyle w:val="Hyperlink"/>
                <w:rFonts w:ascii="Acumin Pro" w:hAnsi="Acumin Pro"/>
                <w:b/>
                <w:bCs/>
                <w:noProof/>
                <w:lang w:val="sr"/>
              </w:rPr>
              <w:t>Минимална зарада</w:t>
            </w:r>
            <w:r w:rsidR="004F4DFA">
              <w:rPr>
                <w:noProof/>
                <w:webHidden/>
              </w:rPr>
              <w:tab/>
            </w:r>
            <w:r w:rsidR="004F4DFA">
              <w:rPr>
                <w:noProof/>
                <w:webHidden/>
              </w:rPr>
              <w:fldChar w:fldCharType="begin"/>
            </w:r>
            <w:r w:rsidR="004F4DFA">
              <w:rPr>
                <w:noProof/>
                <w:webHidden/>
              </w:rPr>
              <w:instrText xml:space="preserve"> PAGEREF _Toc93918927 \h </w:instrText>
            </w:r>
            <w:r w:rsidR="004F4DFA">
              <w:rPr>
                <w:noProof/>
                <w:webHidden/>
              </w:rPr>
            </w:r>
            <w:r w:rsidR="004F4DFA">
              <w:rPr>
                <w:noProof/>
                <w:webHidden/>
              </w:rPr>
              <w:fldChar w:fldCharType="separate"/>
            </w:r>
            <w:r w:rsidR="004F4DFA">
              <w:rPr>
                <w:noProof/>
                <w:webHidden/>
              </w:rPr>
              <w:t>9</w:t>
            </w:r>
            <w:r w:rsidR="004F4DFA">
              <w:rPr>
                <w:noProof/>
                <w:webHidden/>
              </w:rPr>
              <w:fldChar w:fldCharType="end"/>
            </w:r>
          </w:hyperlink>
        </w:p>
        <w:p w14:paraId="760FBDDA" w14:textId="77777777" w:rsidR="004F4DFA" w:rsidRDefault="00CF1C0B">
          <w:pPr>
            <w:pStyle w:val="TOC2"/>
            <w:tabs>
              <w:tab w:val="right" w:leader="dot" w:pos="9016"/>
            </w:tabs>
            <w:rPr>
              <w:rFonts w:asciiTheme="minorHAnsi" w:eastAsiaTheme="minorEastAsia" w:hAnsiTheme="minorHAnsi" w:cstheme="minorBidi"/>
              <w:noProof/>
              <w:sz w:val="22"/>
              <w:szCs w:val="22"/>
              <w:lang w:val="en-GB" w:eastAsia="en-GB"/>
            </w:rPr>
          </w:pPr>
          <w:hyperlink w:anchor="_Toc93918928" w:history="1">
            <w:r w:rsidR="004F4DFA" w:rsidRPr="00AF56BB">
              <w:rPr>
                <w:rStyle w:val="Hyperlink"/>
                <w:rFonts w:ascii="Acumin Pro" w:hAnsi="Acumin Pro"/>
                <w:b/>
                <w:bCs/>
                <w:noProof/>
                <w:lang w:val="sr"/>
              </w:rPr>
              <w:t>ЧЛАН 9 – СОЦИЈАЛНА СИГУРНОСТ</w:t>
            </w:r>
            <w:r w:rsidR="004F4DFA">
              <w:rPr>
                <w:noProof/>
                <w:webHidden/>
              </w:rPr>
              <w:tab/>
            </w:r>
            <w:r w:rsidR="004F4DFA">
              <w:rPr>
                <w:noProof/>
                <w:webHidden/>
              </w:rPr>
              <w:fldChar w:fldCharType="begin"/>
            </w:r>
            <w:r w:rsidR="004F4DFA">
              <w:rPr>
                <w:noProof/>
                <w:webHidden/>
              </w:rPr>
              <w:instrText xml:space="preserve"> PAGEREF _Toc93918928 \h </w:instrText>
            </w:r>
            <w:r w:rsidR="004F4DFA">
              <w:rPr>
                <w:noProof/>
                <w:webHidden/>
              </w:rPr>
            </w:r>
            <w:r w:rsidR="004F4DFA">
              <w:rPr>
                <w:noProof/>
                <w:webHidden/>
              </w:rPr>
              <w:fldChar w:fldCharType="separate"/>
            </w:r>
            <w:r w:rsidR="004F4DFA">
              <w:rPr>
                <w:noProof/>
                <w:webHidden/>
              </w:rPr>
              <w:t>10</w:t>
            </w:r>
            <w:r w:rsidR="004F4DFA">
              <w:rPr>
                <w:noProof/>
                <w:webHidden/>
              </w:rPr>
              <w:fldChar w:fldCharType="end"/>
            </w:r>
          </w:hyperlink>
        </w:p>
        <w:p w14:paraId="54F343FD" w14:textId="77777777" w:rsidR="004F4DFA" w:rsidRDefault="00CF1C0B">
          <w:pPr>
            <w:pStyle w:val="TOC2"/>
            <w:tabs>
              <w:tab w:val="right" w:leader="dot" w:pos="9016"/>
            </w:tabs>
            <w:rPr>
              <w:rFonts w:asciiTheme="minorHAnsi" w:eastAsiaTheme="minorEastAsia" w:hAnsiTheme="minorHAnsi" w:cstheme="minorBidi"/>
              <w:noProof/>
              <w:sz w:val="22"/>
              <w:szCs w:val="22"/>
              <w:lang w:val="en-GB" w:eastAsia="en-GB"/>
            </w:rPr>
          </w:pPr>
          <w:hyperlink w:anchor="_Toc93918929" w:history="1">
            <w:r w:rsidR="004F4DFA" w:rsidRPr="00AF56BB">
              <w:rPr>
                <w:rStyle w:val="Hyperlink"/>
                <w:rFonts w:ascii="Acumin Pro" w:hAnsi="Acumin Pro"/>
                <w:b/>
                <w:bCs/>
                <w:noProof/>
                <w:lang w:val="sr"/>
              </w:rPr>
              <w:t>ЧЛАН 11 – ПРАВО НА АДЕКВАТНО СТАНОВАЊЕ</w:t>
            </w:r>
            <w:r w:rsidR="004F4DFA">
              <w:rPr>
                <w:noProof/>
                <w:webHidden/>
              </w:rPr>
              <w:tab/>
            </w:r>
            <w:r w:rsidR="004F4DFA">
              <w:rPr>
                <w:noProof/>
                <w:webHidden/>
              </w:rPr>
              <w:fldChar w:fldCharType="begin"/>
            </w:r>
            <w:r w:rsidR="004F4DFA">
              <w:rPr>
                <w:noProof/>
                <w:webHidden/>
              </w:rPr>
              <w:instrText xml:space="preserve"> PAGEREF _Toc93918929 \h </w:instrText>
            </w:r>
            <w:r w:rsidR="004F4DFA">
              <w:rPr>
                <w:noProof/>
                <w:webHidden/>
              </w:rPr>
            </w:r>
            <w:r w:rsidR="004F4DFA">
              <w:rPr>
                <w:noProof/>
                <w:webHidden/>
              </w:rPr>
              <w:fldChar w:fldCharType="separate"/>
            </w:r>
            <w:r w:rsidR="004F4DFA">
              <w:rPr>
                <w:noProof/>
                <w:webHidden/>
              </w:rPr>
              <w:t>10</w:t>
            </w:r>
            <w:r w:rsidR="004F4DFA">
              <w:rPr>
                <w:noProof/>
                <w:webHidden/>
              </w:rPr>
              <w:fldChar w:fldCharType="end"/>
            </w:r>
          </w:hyperlink>
        </w:p>
        <w:p w14:paraId="13841B0D" w14:textId="77777777" w:rsidR="004F4DFA" w:rsidRDefault="00CF1C0B">
          <w:pPr>
            <w:pStyle w:val="TOC3"/>
            <w:tabs>
              <w:tab w:val="right" w:leader="dot" w:pos="9016"/>
            </w:tabs>
            <w:rPr>
              <w:rFonts w:asciiTheme="minorHAnsi" w:eastAsiaTheme="minorEastAsia" w:hAnsiTheme="minorHAnsi" w:cstheme="minorBidi"/>
              <w:noProof/>
              <w:sz w:val="22"/>
              <w:szCs w:val="22"/>
              <w:lang w:val="en-GB" w:eastAsia="en-GB"/>
            </w:rPr>
          </w:pPr>
          <w:hyperlink w:anchor="_Toc93918930" w:history="1">
            <w:r w:rsidR="004F4DFA" w:rsidRPr="00AF56BB">
              <w:rPr>
                <w:rStyle w:val="Hyperlink"/>
                <w:rFonts w:ascii="Acumin Pro" w:hAnsi="Acumin Pro"/>
                <w:b/>
                <w:bCs/>
                <w:noProof/>
                <w:lang w:val="sr"/>
              </w:rPr>
              <w:t>Принудна исељења и приступ социјалним становима</w:t>
            </w:r>
            <w:r w:rsidR="004F4DFA">
              <w:rPr>
                <w:noProof/>
                <w:webHidden/>
              </w:rPr>
              <w:tab/>
            </w:r>
            <w:r w:rsidR="004F4DFA">
              <w:rPr>
                <w:noProof/>
                <w:webHidden/>
              </w:rPr>
              <w:fldChar w:fldCharType="begin"/>
            </w:r>
            <w:r w:rsidR="004F4DFA">
              <w:rPr>
                <w:noProof/>
                <w:webHidden/>
              </w:rPr>
              <w:instrText xml:space="preserve"> PAGEREF _Toc93918930 \h </w:instrText>
            </w:r>
            <w:r w:rsidR="004F4DFA">
              <w:rPr>
                <w:noProof/>
                <w:webHidden/>
              </w:rPr>
            </w:r>
            <w:r w:rsidR="004F4DFA">
              <w:rPr>
                <w:noProof/>
                <w:webHidden/>
              </w:rPr>
              <w:fldChar w:fldCharType="separate"/>
            </w:r>
            <w:r w:rsidR="004F4DFA">
              <w:rPr>
                <w:noProof/>
                <w:webHidden/>
              </w:rPr>
              <w:t>11</w:t>
            </w:r>
            <w:r w:rsidR="004F4DFA">
              <w:rPr>
                <w:noProof/>
                <w:webHidden/>
              </w:rPr>
              <w:fldChar w:fldCharType="end"/>
            </w:r>
          </w:hyperlink>
        </w:p>
        <w:p w14:paraId="4E0E88E7" w14:textId="77777777" w:rsidR="004F4DFA" w:rsidRDefault="00CF1C0B">
          <w:pPr>
            <w:pStyle w:val="TOC3"/>
            <w:tabs>
              <w:tab w:val="right" w:leader="dot" w:pos="9016"/>
            </w:tabs>
            <w:rPr>
              <w:rFonts w:asciiTheme="minorHAnsi" w:eastAsiaTheme="minorEastAsia" w:hAnsiTheme="minorHAnsi" w:cstheme="minorBidi"/>
              <w:noProof/>
              <w:sz w:val="22"/>
              <w:szCs w:val="22"/>
              <w:lang w:val="en-GB" w:eastAsia="en-GB"/>
            </w:rPr>
          </w:pPr>
          <w:hyperlink w:anchor="_Toc93918931" w:history="1">
            <w:r w:rsidR="004F4DFA" w:rsidRPr="00AF56BB">
              <w:rPr>
                <w:rStyle w:val="Hyperlink"/>
                <w:rFonts w:ascii="Acumin Pro" w:hAnsi="Acumin Pro"/>
                <w:b/>
                <w:bCs/>
                <w:noProof/>
                <w:lang w:val="sr"/>
              </w:rPr>
              <w:t>Ситуација особа које живе без крова над главом</w:t>
            </w:r>
            <w:r w:rsidR="004F4DFA">
              <w:rPr>
                <w:noProof/>
                <w:webHidden/>
              </w:rPr>
              <w:tab/>
            </w:r>
            <w:r w:rsidR="004F4DFA">
              <w:rPr>
                <w:noProof/>
                <w:webHidden/>
              </w:rPr>
              <w:fldChar w:fldCharType="begin"/>
            </w:r>
            <w:r w:rsidR="004F4DFA">
              <w:rPr>
                <w:noProof/>
                <w:webHidden/>
              </w:rPr>
              <w:instrText xml:space="preserve"> PAGEREF _Toc93918931 \h </w:instrText>
            </w:r>
            <w:r w:rsidR="004F4DFA">
              <w:rPr>
                <w:noProof/>
                <w:webHidden/>
              </w:rPr>
            </w:r>
            <w:r w:rsidR="004F4DFA">
              <w:rPr>
                <w:noProof/>
                <w:webHidden/>
              </w:rPr>
              <w:fldChar w:fldCharType="separate"/>
            </w:r>
            <w:r w:rsidR="004F4DFA">
              <w:rPr>
                <w:noProof/>
                <w:webHidden/>
              </w:rPr>
              <w:t>12</w:t>
            </w:r>
            <w:r w:rsidR="004F4DFA">
              <w:rPr>
                <w:noProof/>
                <w:webHidden/>
              </w:rPr>
              <w:fldChar w:fldCharType="end"/>
            </w:r>
          </w:hyperlink>
        </w:p>
        <w:p w14:paraId="1EA6F530" w14:textId="77777777" w:rsidR="004F4DFA" w:rsidRDefault="00CF1C0B">
          <w:pPr>
            <w:pStyle w:val="TOC1"/>
            <w:tabs>
              <w:tab w:val="right" w:leader="dot" w:pos="9016"/>
            </w:tabs>
            <w:rPr>
              <w:rFonts w:asciiTheme="minorHAnsi" w:eastAsiaTheme="minorEastAsia" w:hAnsiTheme="minorHAnsi" w:cstheme="minorBidi"/>
              <w:noProof/>
              <w:sz w:val="22"/>
              <w:szCs w:val="22"/>
              <w:lang w:val="en-GB" w:eastAsia="en-GB"/>
            </w:rPr>
          </w:pPr>
          <w:hyperlink w:anchor="_Toc93918932" w:history="1">
            <w:r w:rsidR="004F4DFA" w:rsidRPr="00AF56BB">
              <w:rPr>
                <w:rStyle w:val="Hyperlink"/>
                <w:rFonts w:ascii="Neue Machina Ultrabold" w:hAnsi="Neue Machina Ultrabold"/>
                <w:noProof/>
                <w:highlight w:val="red"/>
                <w:lang w:val="sr"/>
              </w:rPr>
              <w:t>АНЕКС</w:t>
            </w:r>
            <w:r w:rsidR="004F4DFA">
              <w:rPr>
                <w:noProof/>
                <w:webHidden/>
              </w:rPr>
              <w:tab/>
            </w:r>
            <w:r w:rsidR="004F4DFA">
              <w:rPr>
                <w:noProof/>
                <w:webHidden/>
              </w:rPr>
              <w:fldChar w:fldCharType="begin"/>
            </w:r>
            <w:r w:rsidR="004F4DFA">
              <w:rPr>
                <w:noProof/>
                <w:webHidden/>
              </w:rPr>
              <w:instrText xml:space="preserve"> PAGEREF _Toc93918932 \h </w:instrText>
            </w:r>
            <w:r w:rsidR="004F4DFA">
              <w:rPr>
                <w:noProof/>
                <w:webHidden/>
              </w:rPr>
            </w:r>
            <w:r w:rsidR="004F4DFA">
              <w:rPr>
                <w:noProof/>
                <w:webHidden/>
              </w:rPr>
              <w:fldChar w:fldCharType="separate"/>
            </w:r>
            <w:r w:rsidR="004F4DFA">
              <w:rPr>
                <w:noProof/>
                <w:webHidden/>
              </w:rPr>
              <w:t>17</w:t>
            </w:r>
            <w:r w:rsidR="004F4DFA">
              <w:rPr>
                <w:noProof/>
                <w:webHidden/>
              </w:rPr>
              <w:fldChar w:fldCharType="end"/>
            </w:r>
          </w:hyperlink>
        </w:p>
        <w:p w14:paraId="0619022A" w14:textId="77777777" w:rsidR="004F4DFA" w:rsidRDefault="00CF1C0B">
          <w:pPr>
            <w:pStyle w:val="TOC1"/>
            <w:tabs>
              <w:tab w:val="right" w:leader="dot" w:pos="9016"/>
            </w:tabs>
            <w:rPr>
              <w:rFonts w:asciiTheme="minorHAnsi" w:eastAsiaTheme="minorEastAsia" w:hAnsiTheme="minorHAnsi" w:cstheme="minorBidi"/>
              <w:noProof/>
              <w:sz w:val="22"/>
              <w:szCs w:val="22"/>
              <w:lang w:val="en-GB" w:eastAsia="en-GB"/>
            </w:rPr>
          </w:pPr>
          <w:hyperlink w:anchor="_Toc93918933" w:history="1">
            <w:r w:rsidR="004F4DFA" w:rsidRPr="00AF56BB">
              <w:rPr>
                <w:rStyle w:val="Hyperlink"/>
                <w:rFonts w:ascii="Neue Machina Ultrabold" w:hAnsi="Neue Machina Ultrabold"/>
                <w:noProof/>
                <w:lang w:val="sr"/>
              </w:rPr>
              <w:t>ОРГАНИЗАЦИЈЕ КОЈЕ СУ ДОПРИНЕЛЕ ОВОМ ИЗВЕШТАЈУ</w:t>
            </w:r>
            <w:r w:rsidR="004F4DFA">
              <w:rPr>
                <w:noProof/>
                <w:webHidden/>
              </w:rPr>
              <w:tab/>
            </w:r>
            <w:r w:rsidR="004F4DFA">
              <w:rPr>
                <w:noProof/>
                <w:webHidden/>
              </w:rPr>
              <w:fldChar w:fldCharType="begin"/>
            </w:r>
            <w:r w:rsidR="004F4DFA">
              <w:rPr>
                <w:noProof/>
                <w:webHidden/>
              </w:rPr>
              <w:instrText xml:space="preserve"> PAGEREF _Toc93918933 \h </w:instrText>
            </w:r>
            <w:r w:rsidR="004F4DFA">
              <w:rPr>
                <w:noProof/>
                <w:webHidden/>
              </w:rPr>
            </w:r>
            <w:r w:rsidR="004F4DFA">
              <w:rPr>
                <w:noProof/>
                <w:webHidden/>
              </w:rPr>
              <w:fldChar w:fldCharType="separate"/>
            </w:r>
            <w:r w:rsidR="004F4DFA">
              <w:rPr>
                <w:noProof/>
                <w:webHidden/>
              </w:rPr>
              <w:t>17</w:t>
            </w:r>
            <w:r w:rsidR="004F4DFA">
              <w:rPr>
                <w:noProof/>
                <w:webHidden/>
              </w:rPr>
              <w:fldChar w:fldCharType="end"/>
            </w:r>
          </w:hyperlink>
        </w:p>
        <w:p w14:paraId="0874C2ED" w14:textId="77777777" w:rsidR="00273887" w:rsidRDefault="00273887">
          <w:r>
            <w:rPr>
              <w:rFonts w:asciiTheme="minorHAnsi" w:hAnsiTheme="minorHAnsi" w:cstheme="minorHAnsi"/>
              <w:b/>
              <w:bCs/>
              <w:noProof/>
            </w:rPr>
            <w:fldChar w:fldCharType="end"/>
          </w:r>
        </w:p>
      </w:sdtContent>
    </w:sdt>
    <w:p w14:paraId="0266C462" w14:textId="77777777" w:rsidR="00466497" w:rsidRDefault="00466497">
      <w:pPr>
        <w:rPr>
          <w:rFonts w:ascii="Neue Machina Ultrabold" w:eastAsiaTheme="majorEastAsia" w:hAnsi="Neue Machina Ultrabold" w:cstheme="majorBidi"/>
          <w:color w:val="FFFFFF" w:themeColor="background1"/>
          <w:sz w:val="32"/>
          <w:szCs w:val="32"/>
          <w:highlight w:val="red"/>
        </w:rPr>
      </w:pPr>
      <w:r>
        <w:rPr>
          <w:rFonts w:ascii="Neue Machina Ultrabold" w:hAnsi="Neue Machina Ultrabold"/>
          <w:color w:val="FFFFFF" w:themeColor="background1"/>
          <w:highlight w:val="red"/>
          <w:lang w:val="sr"/>
        </w:rPr>
        <w:br w:type="page"/>
      </w:r>
    </w:p>
    <w:p w14:paraId="3B88A59D" w14:textId="77777777" w:rsidR="00626257" w:rsidRPr="00087EB3" w:rsidRDefault="00087EB3" w:rsidP="00E60859">
      <w:pPr>
        <w:pStyle w:val="Heading1"/>
        <w:ind w:left="-426" w:right="-613"/>
        <w:rPr>
          <w:rFonts w:ascii="Neue Machina Ultrabold" w:hAnsi="Neue Machina Ultrabold"/>
          <w:color w:val="FFFFFF" w:themeColor="background1"/>
        </w:rPr>
      </w:pPr>
      <w:bookmarkStart w:id="0" w:name="_Toc93918916"/>
      <w:r>
        <w:rPr>
          <w:rFonts w:ascii="Neue Machina Ultrabold" w:hAnsi="Neue Machina Ultrabold"/>
          <w:color w:val="FFFFFF" w:themeColor="background1"/>
          <w:highlight w:val="red"/>
          <w:lang w:val="sr"/>
        </w:rPr>
        <w:lastRenderedPageBreak/>
        <w:t>УВОД</w:t>
      </w:r>
      <w:bookmarkEnd w:id="0"/>
    </w:p>
    <w:p w14:paraId="044652DB" w14:textId="77777777" w:rsidR="00626257" w:rsidRDefault="00626257" w:rsidP="00E60859">
      <w:pPr>
        <w:pStyle w:val="NoSpacing"/>
        <w:ind w:left="-426" w:right="-613"/>
        <w:jc w:val="both"/>
        <w:rPr>
          <w:rFonts w:ascii="Neue Machina Ultrabold" w:hAnsi="Neue Machina Ultrabold" w:cstheme="minorHAnsi"/>
          <w:b/>
          <w:bCs/>
          <w:sz w:val="28"/>
          <w:szCs w:val="28"/>
        </w:rPr>
      </w:pPr>
    </w:p>
    <w:p w14:paraId="18E5455F" w14:textId="77777777" w:rsidR="00626257" w:rsidRPr="00862E6F" w:rsidRDefault="00626257" w:rsidP="00E60859">
      <w:pPr>
        <w:pStyle w:val="ListParagraph"/>
        <w:numPr>
          <w:ilvl w:val="0"/>
          <w:numId w:val="19"/>
        </w:numPr>
        <w:spacing w:after="120"/>
        <w:ind w:left="-426" w:right="-613"/>
        <w:jc w:val="both"/>
        <w:rPr>
          <w:rFonts w:ascii="Acumin Pro" w:hAnsi="Acumin Pro" w:cstheme="minorHAnsi"/>
          <w:bCs/>
        </w:rPr>
      </w:pPr>
      <w:r>
        <w:rPr>
          <w:rFonts w:ascii="Acumin Pro" w:hAnsi="Acumin Pro" w:cstheme="minorHAnsi"/>
          <w:lang w:val="sr"/>
        </w:rPr>
        <w:t xml:space="preserve">Неформална група </w:t>
      </w:r>
      <w:r>
        <w:rPr>
          <w:rFonts w:ascii="Acumin Pro" w:hAnsi="Acumin Pro" w:cstheme="minorHAnsi"/>
          <w:b/>
          <w:bCs/>
          <w:lang w:val="sr"/>
        </w:rPr>
        <w:t>организација цивилног друштва и синдиката</w:t>
      </w:r>
      <w:r>
        <w:rPr>
          <w:rFonts w:ascii="Acumin Pro" w:hAnsi="Acumin Pro" w:cstheme="minorHAnsi"/>
          <w:lang w:val="sr"/>
        </w:rPr>
        <w:t xml:space="preserve"> подноси овај заједнички извештај у циљу пружања додатних информација о примени Међународног пакта о економским, социјалним и културним правима (у даљем тексту: Пакт, ПЕСКП), поводом 71. седнице Комитета УН за економска, социјална и културна права и ревизије Републике Србије. </w:t>
      </w:r>
    </w:p>
    <w:p w14:paraId="2EA30EA0" w14:textId="77777777" w:rsidR="005E55DB" w:rsidRPr="00862E6F" w:rsidRDefault="00626257" w:rsidP="00E60859">
      <w:pPr>
        <w:pStyle w:val="ListParagraph"/>
        <w:numPr>
          <w:ilvl w:val="0"/>
          <w:numId w:val="19"/>
        </w:numPr>
        <w:spacing w:after="120"/>
        <w:ind w:left="-426" w:right="-613"/>
        <w:jc w:val="both"/>
        <w:rPr>
          <w:rFonts w:ascii="Acumin Pro" w:hAnsi="Acumin Pro" w:cstheme="minorHAnsi"/>
          <w:bCs/>
        </w:rPr>
      </w:pPr>
      <w:r>
        <w:rPr>
          <w:rFonts w:ascii="Acumin Pro" w:hAnsi="Acumin Pro" w:cstheme="minorHAnsi"/>
          <w:lang w:val="sr"/>
        </w:rPr>
        <w:t>Овај извештај углавном прати структуру и питања са Листе питања коју је усвојила Радна група која је претходила седници у новембру 2019. године</w:t>
      </w:r>
      <w:r>
        <w:rPr>
          <w:rStyle w:val="FootnoteReference"/>
          <w:rFonts w:ascii="Acumin Pro" w:hAnsi="Acumin Pro" w:cstheme="minorHAnsi"/>
          <w:lang w:val="sr"/>
        </w:rPr>
        <w:footnoteReference w:id="1"/>
      </w:r>
      <w:r>
        <w:rPr>
          <w:rFonts w:ascii="Acumin Pro" w:hAnsi="Acumin Pro" w:cstheme="minorHAnsi"/>
          <w:lang w:val="sr"/>
        </w:rPr>
        <w:t xml:space="preserve">, али пружа и додатне информације, с обзиром на промену контекста од усвајања Листе питања. Извештај се фокусира на утуживост економских, социјалних и културних права, а посебно на улогу Уставног суда у том погледу. Такође, извештај даје информације о раду националних институција за људска права у области заштите економских и социјалних права, приступа систему бесплатне правне помоћи, као и о разговорима о ратификацији Опционог протокола уз Пакт о економским, социјалним и културним правима у Србији. У делу који се бави општим одредбама релевантним за Пакт, извештај даје кратке информације о побољшању српског антидискриминационог законодавства. Поред тога, у делу извештаја који се бави конкретним одредбама Пакта, извештај се фокусира на право на рад и праведне и повољне услове на раду, право на социјалну заштиту и право на одговарајући смештај.  </w:t>
      </w:r>
    </w:p>
    <w:p w14:paraId="4074E40C" w14:textId="77777777" w:rsidR="005719B8" w:rsidRPr="00626257" w:rsidRDefault="005E55DB" w:rsidP="00E60859">
      <w:pPr>
        <w:pStyle w:val="Heading1"/>
        <w:ind w:left="-426" w:right="-613"/>
        <w:rPr>
          <w:rFonts w:ascii="Neue Machina Ultrabold" w:hAnsi="Neue Machina Ultrabold"/>
          <w:color w:val="FFFFFF" w:themeColor="background1"/>
        </w:rPr>
      </w:pPr>
      <w:bookmarkStart w:id="1" w:name="_Toc93918917"/>
      <w:r>
        <w:rPr>
          <w:rFonts w:ascii="Neue Machina Ultrabold" w:hAnsi="Neue Machina Ultrabold"/>
          <w:color w:val="FFFFFF" w:themeColor="background1"/>
          <w:highlight w:val="red"/>
          <w:lang w:val="sr"/>
        </w:rPr>
        <w:t>ОПШТЕ ИНФОРМАЦИЈЕ</w:t>
      </w:r>
      <w:bookmarkEnd w:id="1"/>
      <w:r>
        <w:rPr>
          <w:rFonts w:ascii="Neue Machina Ultrabold" w:hAnsi="Neue Machina Ultrabold"/>
          <w:color w:val="FFFFFF" w:themeColor="background1"/>
          <w:lang w:val="sr"/>
        </w:rPr>
        <w:t xml:space="preserve"> </w:t>
      </w:r>
    </w:p>
    <w:p w14:paraId="5F5D649E" w14:textId="77777777" w:rsidR="005719B8" w:rsidRDefault="005719B8" w:rsidP="00E60859">
      <w:pPr>
        <w:pStyle w:val="NoSpacing"/>
        <w:ind w:left="-426" w:right="-613"/>
        <w:jc w:val="both"/>
        <w:rPr>
          <w:rFonts w:ascii="Acumin Pro" w:hAnsi="Acumin Pro" w:cstheme="minorHAnsi"/>
          <w:b/>
          <w:bCs/>
        </w:rPr>
      </w:pPr>
    </w:p>
    <w:p w14:paraId="1CE9ED73" w14:textId="77777777" w:rsidR="005719B8" w:rsidRPr="00804E2C" w:rsidRDefault="005719B8" w:rsidP="00E60859">
      <w:pPr>
        <w:pStyle w:val="Heading2"/>
        <w:ind w:left="-426" w:right="-613"/>
        <w:rPr>
          <w:rFonts w:ascii="Acumin Pro" w:hAnsi="Acumin Pro"/>
          <w:b/>
          <w:bCs/>
          <w:color w:val="auto"/>
        </w:rPr>
      </w:pPr>
      <w:bookmarkStart w:id="2" w:name="_Toc93918918"/>
      <w:r>
        <w:rPr>
          <w:rFonts w:ascii="Acumin Pro" w:hAnsi="Acumin Pro"/>
          <w:b/>
          <w:bCs/>
          <w:color w:val="auto"/>
          <w:lang w:val="sr"/>
        </w:rPr>
        <w:t>УТУЖИВОСТ ЕКОНОМСКИХ, СОЦИЈАЛНИХ И КУЛТУРНИХ ПРАВА</w:t>
      </w:r>
      <w:bookmarkEnd w:id="2"/>
      <w:r>
        <w:rPr>
          <w:rFonts w:ascii="Acumin Pro" w:hAnsi="Acumin Pro"/>
          <w:color w:val="auto"/>
          <w:lang w:val="sr"/>
        </w:rPr>
        <w:t xml:space="preserve"> </w:t>
      </w:r>
    </w:p>
    <w:p w14:paraId="55470568" w14:textId="77777777" w:rsidR="00D12406" w:rsidRPr="00D12406" w:rsidRDefault="00D12406" w:rsidP="00E60859">
      <w:pPr>
        <w:pStyle w:val="NoSpacing"/>
        <w:ind w:left="-426" w:right="-613"/>
        <w:jc w:val="both"/>
        <w:rPr>
          <w:rFonts w:ascii="Acumin Pro" w:hAnsi="Acumin Pro" w:cstheme="minorHAnsi"/>
          <w:b/>
          <w:bCs/>
        </w:rPr>
      </w:pPr>
    </w:p>
    <w:p w14:paraId="20A73C34" w14:textId="77777777" w:rsidR="00862E6F" w:rsidRDefault="00B27CAF" w:rsidP="00E60859">
      <w:pPr>
        <w:pStyle w:val="NoSpacing"/>
        <w:numPr>
          <w:ilvl w:val="0"/>
          <w:numId w:val="19"/>
        </w:numPr>
        <w:ind w:left="-426" w:right="-613"/>
        <w:jc w:val="both"/>
        <w:rPr>
          <w:rFonts w:ascii="Acumin Pro" w:hAnsi="Acumin Pro" w:cstheme="minorHAnsi"/>
        </w:rPr>
      </w:pPr>
      <w:r>
        <w:rPr>
          <w:rFonts w:ascii="Acumin Pro" w:hAnsi="Acumin Pro" w:cstheme="minorHAnsi"/>
          <w:lang w:val="sr"/>
        </w:rPr>
        <w:t>Поред информација које је држава дала у одговору на листу питања да је у судским предметима и одлукама „директно позивање на одредбе Пакта веома ретко”</w:t>
      </w:r>
      <w:r w:rsidRPr="00C479D3">
        <w:rPr>
          <w:rStyle w:val="FootnoteReference"/>
        </w:rPr>
        <w:footnoteReference w:id="2"/>
      </w:r>
      <w:r w:rsidRPr="00C479D3">
        <w:rPr>
          <w:rStyle w:val="FootnoteReference"/>
        </w:rPr>
        <w:t>,</w:t>
      </w:r>
      <w:r>
        <w:rPr>
          <w:rFonts w:ascii="Acumin Pro" w:hAnsi="Acumin Pro" w:cstheme="minorHAnsi"/>
          <w:lang w:val="sr"/>
        </w:rPr>
        <w:t xml:space="preserve"> такође је умесно рећи да држава није могла да наведе ни једну одлуку засновану на одредбама Пакта у свом извештају Комитету за економска, социјална и културна права.</w:t>
      </w:r>
      <w:r>
        <w:rPr>
          <w:rFonts w:ascii="Acumin Pro" w:hAnsi="Acumin Pro" w:cstheme="minorHAnsi"/>
          <w:lang w:val="sr"/>
        </w:rPr>
        <w:footnoteReference w:id="3"/>
      </w:r>
      <w:r>
        <w:rPr>
          <w:rFonts w:ascii="Acumin Pro" w:hAnsi="Acumin Pro" w:cstheme="minorHAnsi"/>
          <w:lang w:val="sr"/>
        </w:rPr>
        <w:t xml:space="preserve"> Такође је утврђено да органи управе нису ни упознати са међународним стандардима људских права и њиховим положајем у правном систему. На пример, организације које раде са установама социјалне заштите које пружају подршку особама са инвалидитетом показале су да стручњаци за социјалну заштиту из Београда, Новог Сада, Суботице и Сомбора никада нису ни чули за Опште коментаре које су усвојила различита уговорна тела УН.</w:t>
      </w:r>
      <w:r>
        <w:rPr>
          <w:rStyle w:val="FootnoteReference"/>
          <w:rFonts w:ascii="Acumin Pro" w:hAnsi="Acumin Pro" w:cstheme="minorHAnsi"/>
          <w:lang w:val="sr"/>
        </w:rPr>
        <w:footnoteReference w:id="4"/>
      </w:r>
      <w:r>
        <w:rPr>
          <w:rFonts w:ascii="Acumin Pro" w:hAnsi="Acumin Pro" w:cstheme="minorHAnsi"/>
          <w:lang w:val="sr"/>
        </w:rPr>
        <w:t xml:space="preserve"> Овај пример показује да је, поред нормативног рада, потребно више напора за обуку стручњака који раде у јавном сектору у областима важним за заштиту и уживање економских, социјалних и културних права. </w:t>
      </w:r>
    </w:p>
    <w:p w14:paraId="4ABD4D10" w14:textId="77777777" w:rsidR="00862E6F" w:rsidRDefault="00626257" w:rsidP="00E60859">
      <w:pPr>
        <w:pStyle w:val="NoSpacing"/>
        <w:numPr>
          <w:ilvl w:val="0"/>
          <w:numId w:val="19"/>
        </w:numPr>
        <w:ind w:left="-426" w:right="-613"/>
        <w:jc w:val="both"/>
        <w:rPr>
          <w:rFonts w:ascii="Acumin Pro" w:hAnsi="Acumin Pro" w:cstheme="minorHAnsi"/>
        </w:rPr>
      </w:pPr>
      <w:r>
        <w:rPr>
          <w:rFonts w:ascii="Acumin Pro" w:hAnsi="Acumin Pro" w:cstheme="minorHAnsi"/>
          <w:lang w:val="sr"/>
        </w:rPr>
        <w:t>Иако је Уставни суд у позицији да другим правосудним и управним органима даје смернице и тумачење у случајевима повреде економских и социјалних права, он то често не чини, чак и у случајевима када утврди повреде економских и социјалних права. На пример, Закон о изменама и допунама Закона о здравственом осигурању</w:t>
      </w:r>
      <w:r>
        <w:rPr>
          <w:rStyle w:val="FootnoteReference"/>
          <w:rFonts w:ascii="Acumin Pro" w:hAnsi="Acumin Pro" w:cstheme="minorHAnsi"/>
          <w:lang w:val="sr"/>
        </w:rPr>
        <w:footnoteReference w:id="5"/>
      </w:r>
      <w:r>
        <w:rPr>
          <w:rFonts w:ascii="Acumin Pro" w:hAnsi="Acumin Pro" w:cstheme="minorHAnsi"/>
          <w:lang w:val="sr"/>
        </w:rPr>
        <w:t>, усвојен 2011. године, проглашен је неуставним јер није у складу са Конвенцијом Међународне организације рада бр. 121. Ова одлука не помиње Пакт, нити обавезе које, према Комитету за економска, социјална и културна права, имају државе ако прибегну доношењу ретрогресивних мера.</w:t>
      </w:r>
      <w:r>
        <w:rPr>
          <w:rStyle w:val="FootnoteReference"/>
          <w:rFonts w:ascii="Acumin Pro" w:hAnsi="Acumin Pro" w:cstheme="minorHAnsi"/>
          <w:lang w:val="sr"/>
        </w:rPr>
        <w:footnoteReference w:id="6"/>
      </w:r>
    </w:p>
    <w:p w14:paraId="5B42452A" w14:textId="77777777" w:rsidR="00862E6F" w:rsidRDefault="00626257" w:rsidP="00E60859">
      <w:pPr>
        <w:pStyle w:val="NoSpacing"/>
        <w:numPr>
          <w:ilvl w:val="0"/>
          <w:numId w:val="19"/>
        </w:numPr>
        <w:ind w:left="-426" w:right="-613"/>
        <w:jc w:val="both"/>
        <w:rPr>
          <w:rFonts w:ascii="Acumin Pro" w:hAnsi="Acumin Pro" w:cstheme="minorHAnsi"/>
        </w:rPr>
      </w:pPr>
      <w:r>
        <w:rPr>
          <w:rFonts w:ascii="Acumin Pro" w:hAnsi="Acumin Pro" w:cstheme="minorHAnsi"/>
          <w:lang w:val="sr"/>
        </w:rPr>
        <w:lastRenderedPageBreak/>
        <w:t>Поред тога, Уставни суд избегава да учествује у оцени прописа који се односе на економска и социјална права, бар док су ти прописи на снази.</w:t>
      </w:r>
      <w:r>
        <w:rPr>
          <w:rStyle w:val="FootnoteReference"/>
          <w:rFonts w:ascii="Acumin Pro" w:hAnsi="Acumin Pro" w:cstheme="minorHAnsi"/>
          <w:lang w:val="sr"/>
        </w:rPr>
        <w:footnoteReference w:id="7"/>
      </w:r>
      <w:r>
        <w:rPr>
          <w:rFonts w:ascii="Acumin Pro" w:hAnsi="Acumin Pro" w:cstheme="minorHAnsi"/>
          <w:lang w:val="sr"/>
        </w:rPr>
        <w:t xml:space="preserve"> Постоји неколико примера за ову изјаву, сви су наведени у табели испод. </w:t>
      </w:r>
    </w:p>
    <w:p w14:paraId="18643ABF" w14:textId="77777777" w:rsidR="00862E6F" w:rsidRDefault="005719B8" w:rsidP="00E60859">
      <w:pPr>
        <w:pStyle w:val="NoSpacing"/>
        <w:numPr>
          <w:ilvl w:val="0"/>
          <w:numId w:val="19"/>
        </w:numPr>
        <w:ind w:left="-426" w:right="-613"/>
        <w:jc w:val="both"/>
        <w:rPr>
          <w:rFonts w:ascii="Acumin Pro" w:hAnsi="Acumin Pro" w:cstheme="minorHAnsi"/>
        </w:rPr>
      </w:pPr>
      <w:r>
        <w:rPr>
          <w:rFonts w:ascii="Acumin Pro" w:hAnsi="Acumin Pro" w:cstheme="minorHAnsi"/>
          <w:lang w:val="sr"/>
        </w:rPr>
        <w:t>У периоду 2014 – 2018. године у Уставном суду је било 58.615 нових предмета</w:t>
      </w:r>
      <w:r>
        <w:rPr>
          <w:rStyle w:val="FootnoteReference"/>
          <w:rFonts w:ascii="Acumin Pro" w:hAnsi="Acumin Pro" w:cstheme="minorHAnsi"/>
          <w:lang w:val="sr"/>
        </w:rPr>
        <w:footnoteReference w:id="8"/>
      </w:r>
      <w:r>
        <w:rPr>
          <w:rFonts w:ascii="Acumin Pro" w:hAnsi="Acumin Pro" w:cstheme="minorHAnsi"/>
          <w:lang w:val="sr"/>
        </w:rPr>
        <w:t>, од чега су 95% уставне жалбе, тако да нормативна контрола законодавства представља само 5% укупног рада Уставног суда.</w:t>
      </w:r>
      <w:r>
        <w:rPr>
          <w:rStyle w:val="FootnoteReference"/>
          <w:rFonts w:ascii="Acumin Pro" w:hAnsi="Acumin Pro" w:cstheme="minorHAnsi"/>
          <w:lang w:val="sr"/>
        </w:rPr>
        <w:footnoteReference w:id="9"/>
      </w:r>
      <w:r>
        <w:rPr>
          <w:rFonts w:ascii="Acumin Pro" w:hAnsi="Acumin Pro" w:cstheme="minorHAnsi"/>
          <w:lang w:val="sr"/>
        </w:rPr>
        <w:t xml:space="preserve"> Међутим, чак и без заосталих предмета, Уставни суд годинама не доноси одлуке које се тичу најугроженије популације. </w:t>
      </w:r>
    </w:p>
    <w:p w14:paraId="582E66BC" w14:textId="77777777" w:rsidR="001E620F" w:rsidRPr="00862E6F" w:rsidRDefault="00EE14B3" w:rsidP="00E60859">
      <w:pPr>
        <w:pStyle w:val="NoSpacing"/>
        <w:numPr>
          <w:ilvl w:val="0"/>
          <w:numId w:val="19"/>
        </w:numPr>
        <w:ind w:left="-426" w:right="-613"/>
        <w:jc w:val="both"/>
        <w:rPr>
          <w:rFonts w:ascii="Acumin Pro" w:hAnsi="Acumin Pro" w:cstheme="minorHAnsi"/>
        </w:rPr>
      </w:pPr>
      <w:r>
        <w:rPr>
          <w:rFonts w:ascii="Acumin Pro" w:hAnsi="Acumin Pro" w:cstheme="minorHAnsi"/>
          <w:lang w:val="sr"/>
        </w:rPr>
        <w:t xml:space="preserve">Не постоје јавно доступни подаци о мерама које је држава спровела у циљу подизања свести правосудних службеника о правима из Пакта и њиховој примени. </w:t>
      </w:r>
    </w:p>
    <w:p w14:paraId="072820BA" w14:textId="77777777" w:rsidR="002769DB" w:rsidRDefault="002769DB" w:rsidP="00E60859">
      <w:pPr>
        <w:pStyle w:val="NoSpacing"/>
        <w:ind w:left="-426" w:right="-613"/>
        <w:jc w:val="both"/>
        <w:rPr>
          <w:rFonts w:ascii="Acumin Pro" w:hAnsi="Acumin Pro" w:cstheme="minorHAnsi"/>
        </w:rPr>
      </w:pPr>
    </w:p>
    <w:p w14:paraId="297C3EA9" w14:textId="77777777" w:rsidR="00FA2CB9" w:rsidRPr="002769DB" w:rsidRDefault="002769DB" w:rsidP="00E60859">
      <w:pPr>
        <w:pStyle w:val="NoSpacing"/>
        <w:ind w:right="-46"/>
        <w:jc w:val="both"/>
        <w:rPr>
          <w:rFonts w:ascii="Acumin Pro" w:hAnsi="Acumin Pro" w:cstheme="minorHAnsi"/>
          <w:b/>
          <w:bCs/>
        </w:rPr>
      </w:pPr>
      <w:r>
        <w:rPr>
          <w:rFonts w:ascii="Acumin Pro" w:hAnsi="Acumin Pro" w:cstheme="minorHAnsi"/>
          <w:b/>
          <w:bCs/>
          <w:lang w:val="sr"/>
        </w:rPr>
        <w:t>Табела 1:</w:t>
      </w:r>
      <w:r>
        <w:rPr>
          <w:rFonts w:ascii="Acumin Pro" w:hAnsi="Acumin Pro" w:cstheme="minorHAnsi"/>
          <w:lang w:val="sr"/>
        </w:rPr>
        <w:t xml:space="preserve"> </w:t>
      </w:r>
      <w:r>
        <w:rPr>
          <w:rFonts w:ascii="Acumin Pro" w:hAnsi="Acumin Pro" w:cstheme="minorHAnsi"/>
          <w:b/>
          <w:bCs/>
          <w:lang w:val="sr"/>
        </w:rPr>
        <w:t>Списак иницијатива за оцену уставности релевантних за заштиту економских и социјалних права</w:t>
      </w:r>
      <w:r>
        <w:rPr>
          <w:rFonts w:ascii="Acumin Pro" w:hAnsi="Acumin Pro" w:cstheme="minorHAnsi"/>
          <w:lang w:val="sr"/>
        </w:rPr>
        <w:t xml:space="preserve"> </w:t>
      </w:r>
    </w:p>
    <w:p w14:paraId="1E7CB0FD" w14:textId="77777777" w:rsidR="002769DB" w:rsidRPr="00FA2CB9" w:rsidRDefault="002769DB" w:rsidP="00E60859">
      <w:pPr>
        <w:pStyle w:val="NoSpacing"/>
        <w:ind w:right="-46"/>
        <w:jc w:val="both"/>
        <w:rPr>
          <w:rFonts w:ascii="Acumin Pro" w:hAnsi="Acumin Pro" w:cstheme="minorHAnsi"/>
        </w:rPr>
      </w:pPr>
    </w:p>
    <w:tbl>
      <w:tblPr>
        <w:tblStyle w:val="TableGrid"/>
        <w:tblW w:w="9649" w:type="dxa"/>
        <w:tblLook w:val="04A0" w:firstRow="1" w:lastRow="0" w:firstColumn="1" w:lastColumn="0" w:noHBand="0" w:noVBand="1"/>
      </w:tblPr>
      <w:tblGrid>
        <w:gridCol w:w="1824"/>
        <w:gridCol w:w="1558"/>
        <w:gridCol w:w="2065"/>
        <w:gridCol w:w="1902"/>
        <w:gridCol w:w="1354"/>
        <w:gridCol w:w="1353"/>
      </w:tblGrid>
      <w:tr w:rsidR="00626257" w14:paraId="1AAAD442" w14:textId="77777777" w:rsidTr="0069213C">
        <w:trPr>
          <w:trHeight w:val="1683"/>
        </w:trPr>
        <w:tc>
          <w:tcPr>
            <w:tcW w:w="1725" w:type="dxa"/>
            <w:shd w:val="clear" w:color="auto" w:fill="FA6262"/>
          </w:tcPr>
          <w:p w14:paraId="309E9A5A" w14:textId="77777777" w:rsidR="00626257" w:rsidRPr="00626257" w:rsidRDefault="00626257" w:rsidP="00E60859">
            <w:pPr>
              <w:pStyle w:val="NoSpacing"/>
              <w:ind w:right="-46"/>
              <w:jc w:val="center"/>
              <w:rPr>
                <w:rFonts w:ascii="Acumin Pro" w:hAnsi="Acumin Pro" w:cstheme="minorHAnsi"/>
                <w:b/>
                <w:bCs/>
                <w:color w:val="FFFFFF" w:themeColor="background1"/>
                <w:sz w:val="18"/>
                <w:szCs w:val="18"/>
              </w:rPr>
            </w:pPr>
          </w:p>
          <w:p w14:paraId="4F942A43" w14:textId="77777777" w:rsidR="00626257" w:rsidRPr="00626257" w:rsidRDefault="00626257" w:rsidP="00E60859">
            <w:pPr>
              <w:pStyle w:val="NoSpacing"/>
              <w:ind w:right="-46"/>
              <w:jc w:val="center"/>
              <w:rPr>
                <w:rFonts w:ascii="Acumin Pro" w:hAnsi="Acumin Pro" w:cstheme="minorHAnsi"/>
                <w:b/>
                <w:bCs/>
                <w:color w:val="FFFFFF" w:themeColor="background1"/>
                <w:sz w:val="18"/>
                <w:szCs w:val="18"/>
              </w:rPr>
            </w:pPr>
          </w:p>
          <w:p w14:paraId="022635B1" w14:textId="77777777" w:rsidR="00626257" w:rsidRPr="00626257" w:rsidRDefault="001E620F" w:rsidP="00E60859">
            <w:pPr>
              <w:pStyle w:val="NoSpacing"/>
              <w:ind w:right="-46"/>
              <w:jc w:val="center"/>
              <w:rPr>
                <w:rFonts w:ascii="Acumin Pro" w:hAnsi="Acumin Pro" w:cstheme="minorHAnsi"/>
                <w:b/>
                <w:bCs/>
                <w:color w:val="FFFFFF" w:themeColor="background1"/>
                <w:sz w:val="18"/>
                <w:szCs w:val="18"/>
              </w:rPr>
            </w:pPr>
            <w:r>
              <w:rPr>
                <w:rFonts w:ascii="Acumin Pro" w:hAnsi="Acumin Pro" w:cstheme="minorHAnsi"/>
                <w:b/>
                <w:bCs/>
                <w:color w:val="FFFFFF" w:themeColor="background1"/>
                <w:sz w:val="18"/>
                <w:szCs w:val="18"/>
                <w:lang w:val="sr"/>
              </w:rPr>
              <w:t>Законодавство</w:t>
            </w:r>
          </w:p>
          <w:p w14:paraId="0EE6899E" w14:textId="77777777" w:rsidR="00626257" w:rsidRPr="00626257" w:rsidRDefault="00626257" w:rsidP="00E60859">
            <w:pPr>
              <w:pStyle w:val="NoSpacing"/>
              <w:ind w:right="-46"/>
              <w:jc w:val="center"/>
              <w:rPr>
                <w:rFonts w:ascii="Acumin Pro" w:hAnsi="Acumin Pro" w:cstheme="minorHAnsi"/>
                <w:b/>
                <w:bCs/>
                <w:color w:val="FFFFFF" w:themeColor="background1"/>
                <w:sz w:val="18"/>
                <w:szCs w:val="18"/>
              </w:rPr>
            </w:pPr>
          </w:p>
        </w:tc>
        <w:tc>
          <w:tcPr>
            <w:tcW w:w="1501" w:type="dxa"/>
            <w:shd w:val="clear" w:color="auto" w:fill="FA6262"/>
          </w:tcPr>
          <w:p w14:paraId="3D3A1C5C" w14:textId="77777777" w:rsidR="00626257" w:rsidRPr="00626257" w:rsidRDefault="00626257" w:rsidP="00E60859">
            <w:pPr>
              <w:pStyle w:val="NoSpacing"/>
              <w:ind w:right="-46"/>
              <w:jc w:val="center"/>
              <w:rPr>
                <w:rFonts w:ascii="Acumin Pro" w:hAnsi="Acumin Pro" w:cstheme="minorHAnsi"/>
                <w:b/>
                <w:bCs/>
                <w:color w:val="FFFFFF" w:themeColor="background1"/>
                <w:sz w:val="18"/>
                <w:szCs w:val="18"/>
              </w:rPr>
            </w:pPr>
          </w:p>
          <w:p w14:paraId="795EDB79" w14:textId="77777777" w:rsidR="00626257" w:rsidRPr="00626257" w:rsidRDefault="00626257" w:rsidP="00E60859">
            <w:pPr>
              <w:pStyle w:val="NoSpacing"/>
              <w:ind w:right="-46"/>
              <w:jc w:val="center"/>
              <w:rPr>
                <w:rFonts w:ascii="Acumin Pro" w:hAnsi="Acumin Pro" w:cstheme="minorHAnsi"/>
                <w:b/>
                <w:bCs/>
                <w:color w:val="FFFFFF" w:themeColor="background1"/>
                <w:sz w:val="18"/>
                <w:szCs w:val="18"/>
              </w:rPr>
            </w:pPr>
            <w:r>
              <w:rPr>
                <w:rFonts w:ascii="Acumin Pro" w:hAnsi="Acumin Pro" w:cstheme="minorHAnsi"/>
                <w:b/>
                <w:bCs/>
                <w:color w:val="FFFFFF" w:themeColor="background1"/>
                <w:sz w:val="18"/>
                <w:szCs w:val="18"/>
                <w:lang w:val="sr"/>
              </w:rPr>
              <w:t>Датум подношења иницијативе за оцену уставности</w:t>
            </w:r>
          </w:p>
          <w:p w14:paraId="471699EE" w14:textId="77777777" w:rsidR="00626257" w:rsidRPr="00626257" w:rsidRDefault="00626257" w:rsidP="00E60859">
            <w:pPr>
              <w:pStyle w:val="NoSpacing"/>
              <w:ind w:right="-46"/>
              <w:jc w:val="center"/>
              <w:rPr>
                <w:rFonts w:ascii="Acumin Pro" w:hAnsi="Acumin Pro" w:cstheme="minorHAnsi"/>
                <w:b/>
                <w:bCs/>
                <w:color w:val="FFFFFF" w:themeColor="background1"/>
                <w:sz w:val="18"/>
                <w:szCs w:val="18"/>
              </w:rPr>
            </w:pPr>
          </w:p>
        </w:tc>
        <w:tc>
          <w:tcPr>
            <w:tcW w:w="1950" w:type="dxa"/>
            <w:shd w:val="clear" w:color="auto" w:fill="FA6262"/>
          </w:tcPr>
          <w:p w14:paraId="491C2BBB" w14:textId="77777777" w:rsidR="00626257" w:rsidRPr="00626257" w:rsidRDefault="00626257" w:rsidP="00E60859">
            <w:pPr>
              <w:pStyle w:val="NoSpacing"/>
              <w:ind w:right="-46"/>
              <w:jc w:val="center"/>
              <w:rPr>
                <w:rFonts w:ascii="Acumin Pro" w:hAnsi="Acumin Pro" w:cstheme="minorHAnsi"/>
                <w:b/>
                <w:bCs/>
                <w:color w:val="FFFFFF" w:themeColor="background1"/>
                <w:sz w:val="18"/>
                <w:szCs w:val="18"/>
              </w:rPr>
            </w:pPr>
          </w:p>
          <w:p w14:paraId="58C690D4" w14:textId="77777777" w:rsidR="00626257" w:rsidRPr="00626257" w:rsidRDefault="00626257" w:rsidP="00E60859">
            <w:pPr>
              <w:pStyle w:val="NoSpacing"/>
              <w:ind w:right="-46"/>
              <w:jc w:val="center"/>
              <w:rPr>
                <w:rFonts w:ascii="Acumin Pro" w:hAnsi="Acumin Pro" w:cstheme="minorHAnsi"/>
                <w:b/>
                <w:bCs/>
                <w:color w:val="FFFFFF" w:themeColor="background1"/>
                <w:sz w:val="18"/>
                <w:szCs w:val="18"/>
              </w:rPr>
            </w:pPr>
          </w:p>
          <w:p w14:paraId="54AF046F" w14:textId="77777777" w:rsidR="00626257" w:rsidRPr="00626257" w:rsidRDefault="00626257" w:rsidP="00E60859">
            <w:pPr>
              <w:pStyle w:val="NoSpacing"/>
              <w:ind w:right="-46"/>
              <w:jc w:val="center"/>
              <w:rPr>
                <w:rFonts w:ascii="Acumin Pro" w:hAnsi="Acumin Pro" w:cstheme="minorHAnsi"/>
                <w:b/>
                <w:bCs/>
                <w:color w:val="FFFFFF" w:themeColor="background1"/>
                <w:sz w:val="18"/>
                <w:szCs w:val="18"/>
              </w:rPr>
            </w:pPr>
            <w:r>
              <w:rPr>
                <w:rFonts w:ascii="Acumin Pro" w:hAnsi="Acumin Pro" w:cstheme="minorHAnsi"/>
                <w:b/>
                <w:bCs/>
                <w:color w:val="FFFFFF" w:themeColor="background1"/>
                <w:sz w:val="18"/>
                <w:szCs w:val="18"/>
                <w:lang w:val="sr"/>
              </w:rPr>
              <w:t>Број поднетих иницијатива</w:t>
            </w:r>
          </w:p>
        </w:tc>
        <w:tc>
          <w:tcPr>
            <w:tcW w:w="1878" w:type="dxa"/>
            <w:shd w:val="clear" w:color="auto" w:fill="FA6262"/>
          </w:tcPr>
          <w:p w14:paraId="5949F3FC" w14:textId="77777777" w:rsidR="00626257" w:rsidRPr="00626257" w:rsidRDefault="00626257" w:rsidP="00E60859">
            <w:pPr>
              <w:pStyle w:val="NoSpacing"/>
              <w:ind w:right="-46"/>
              <w:jc w:val="center"/>
              <w:rPr>
                <w:rFonts w:ascii="Acumin Pro" w:hAnsi="Acumin Pro" w:cstheme="minorHAnsi"/>
                <w:b/>
                <w:bCs/>
                <w:color w:val="FFFFFF" w:themeColor="background1"/>
                <w:sz w:val="18"/>
                <w:szCs w:val="18"/>
              </w:rPr>
            </w:pPr>
          </w:p>
          <w:p w14:paraId="0521E657" w14:textId="77777777" w:rsidR="00626257" w:rsidRPr="00626257" w:rsidRDefault="00626257" w:rsidP="00E60859">
            <w:pPr>
              <w:pStyle w:val="NoSpacing"/>
              <w:ind w:right="-46"/>
              <w:jc w:val="center"/>
              <w:rPr>
                <w:rFonts w:ascii="Acumin Pro" w:hAnsi="Acumin Pro" w:cstheme="minorHAnsi"/>
                <w:b/>
                <w:bCs/>
                <w:color w:val="FFFFFF" w:themeColor="background1"/>
                <w:sz w:val="18"/>
                <w:szCs w:val="18"/>
              </w:rPr>
            </w:pPr>
          </w:p>
          <w:p w14:paraId="008E3847" w14:textId="77777777" w:rsidR="00626257" w:rsidRPr="00626257" w:rsidRDefault="00626257" w:rsidP="00E60859">
            <w:pPr>
              <w:pStyle w:val="NoSpacing"/>
              <w:ind w:right="-46"/>
              <w:jc w:val="center"/>
              <w:rPr>
                <w:rFonts w:ascii="Acumin Pro" w:hAnsi="Acumin Pro" w:cstheme="minorHAnsi"/>
                <w:b/>
                <w:bCs/>
                <w:color w:val="FFFFFF" w:themeColor="background1"/>
                <w:sz w:val="18"/>
                <w:szCs w:val="18"/>
              </w:rPr>
            </w:pPr>
            <w:r>
              <w:rPr>
                <w:rFonts w:ascii="Acumin Pro" w:hAnsi="Acumin Pro" w:cstheme="minorHAnsi"/>
                <w:b/>
                <w:bCs/>
                <w:color w:val="FFFFFF" w:themeColor="background1"/>
                <w:sz w:val="18"/>
                <w:szCs w:val="18"/>
                <w:lang w:val="sr"/>
              </w:rPr>
              <w:t>Кључно правно питање</w:t>
            </w:r>
          </w:p>
        </w:tc>
        <w:tc>
          <w:tcPr>
            <w:tcW w:w="1299" w:type="dxa"/>
            <w:shd w:val="clear" w:color="auto" w:fill="FA6262"/>
          </w:tcPr>
          <w:p w14:paraId="6B11B6C2" w14:textId="77777777" w:rsidR="00626257" w:rsidRPr="00626257" w:rsidRDefault="00626257" w:rsidP="00E60859">
            <w:pPr>
              <w:pStyle w:val="NoSpacing"/>
              <w:ind w:right="-46"/>
              <w:jc w:val="center"/>
              <w:rPr>
                <w:rFonts w:ascii="Acumin Pro" w:hAnsi="Acumin Pro" w:cstheme="minorHAnsi"/>
                <w:b/>
                <w:bCs/>
                <w:color w:val="FFFFFF" w:themeColor="background1"/>
                <w:sz w:val="18"/>
                <w:szCs w:val="18"/>
              </w:rPr>
            </w:pPr>
          </w:p>
          <w:p w14:paraId="219D2ECF" w14:textId="77777777" w:rsidR="00626257" w:rsidRPr="00626257" w:rsidRDefault="00626257" w:rsidP="00E60859">
            <w:pPr>
              <w:pStyle w:val="NoSpacing"/>
              <w:ind w:right="-46"/>
              <w:jc w:val="center"/>
              <w:rPr>
                <w:rFonts w:ascii="Acumin Pro" w:hAnsi="Acumin Pro" w:cstheme="minorHAnsi"/>
                <w:b/>
                <w:bCs/>
                <w:color w:val="FFFFFF" w:themeColor="background1"/>
                <w:sz w:val="18"/>
                <w:szCs w:val="18"/>
              </w:rPr>
            </w:pPr>
          </w:p>
          <w:p w14:paraId="261983A8" w14:textId="77777777" w:rsidR="00626257" w:rsidRPr="00626257" w:rsidRDefault="00626257" w:rsidP="00E60859">
            <w:pPr>
              <w:pStyle w:val="NoSpacing"/>
              <w:ind w:right="-46"/>
              <w:jc w:val="center"/>
              <w:rPr>
                <w:rFonts w:ascii="Acumin Pro" w:hAnsi="Acumin Pro" w:cstheme="minorHAnsi"/>
                <w:b/>
                <w:bCs/>
                <w:color w:val="FFFFFF" w:themeColor="background1"/>
                <w:sz w:val="18"/>
                <w:szCs w:val="18"/>
              </w:rPr>
            </w:pPr>
            <w:r>
              <w:rPr>
                <w:rFonts w:ascii="Acumin Pro" w:hAnsi="Acumin Pro" w:cstheme="minorHAnsi"/>
                <w:b/>
                <w:bCs/>
                <w:color w:val="FFFFFF" w:themeColor="background1"/>
                <w:sz w:val="18"/>
                <w:szCs w:val="18"/>
                <w:lang w:val="sr"/>
              </w:rPr>
              <w:t>Одлука суда</w:t>
            </w:r>
          </w:p>
        </w:tc>
        <w:tc>
          <w:tcPr>
            <w:tcW w:w="1296" w:type="dxa"/>
            <w:shd w:val="clear" w:color="auto" w:fill="FA6262"/>
          </w:tcPr>
          <w:p w14:paraId="3BDC904F" w14:textId="77777777" w:rsidR="00626257" w:rsidRPr="00626257" w:rsidRDefault="00626257" w:rsidP="00E60859">
            <w:pPr>
              <w:pStyle w:val="NoSpacing"/>
              <w:ind w:right="-46"/>
              <w:jc w:val="center"/>
              <w:rPr>
                <w:rFonts w:ascii="Acumin Pro" w:hAnsi="Acumin Pro" w:cstheme="minorHAnsi"/>
                <w:b/>
                <w:bCs/>
                <w:color w:val="FFFFFF" w:themeColor="background1"/>
                <w:sz w:val="18"/>
                <w:szCs w:val="18"/>
              </w:rPr>
            </w:pPr>
          </w:p>
          <w:p w14:paraId="1798FD18" w14:textId="77777777" w:rsidR="00626257" w:rsidRPr="00626257" w:rsidRDefault="00626257" w:rsidP="00E60859">
            <w:pPr>
              <w:pStyle w:val="NoSpacing"/>
              <w:ind w:right="-46"/>
              <w:jc w:val="center"/>
              <w:rPr>
                <w:rFonts w:ascii="Acumin Pro" w:hAnsi="Acumin Pro" w:cstheme="minorHAnsi"/>
                <w:b/>
                <w:bCs/>
                <w:color w:val="FFFFFF" w:themeColor="background1"/>
                <w:sz w:val="18"/>
                <w:szCs w:val="18"/>
              </w:rPr>
            </w:pPr>
          </w:p>
          <w:p w14:paraId="633245C0" w14:textId="77777777" w:rsidR="00626257" w:rsidRPr="00626257" w:rsidRDefault="00626257" w:rsidP="00E60859">
            <w:pPr>
              <w:pStyle w:val="NoSpacing"/>
              <w:ind w:right="-46"/>
              <w:jc w:val="center"/>
              <w:rPr>
                <w:rFonts w:ascii="Acumin Pro" w:hAnsi="Acumin Pro" w:cstheme="minorHAnsi"/>
                <w:b/>
                <w:bCs/>
                <w:color w:val="FFFFFF" w:themeColor="background1"/>
                <w:sz w:val="18"/>
                <w:szCs w:val="18"/>
              </w:rPr>
            </w:pPr>
            <w:r>
              <w:rPr>
                <w:rFonts w:ascii="Acumin Pro" w:hAnsi="Acumin Pro" w:cstheme="minorHAnsi"/>
                <w:b/>
                <w:bCs/>
                <w:color w:val="FFFFFF" w:themeColor="background1"/>
                <w:sz w:val="18"/>
                <w:szCs w:val="18"/>
                <w:lang w:val="sr"/>
              </w:rPr>
              <w:t>Укупно трајање</w:t>
            </w:r>
            <w:r>
              <w:rPr>
                <w:rFonts w:ascii="Acumin Pro" w:hAnsi="Acumin Pro" w:cstheme="minorHAnsi"/>
                <w:color w:val="FFFFFF" w:themeColor="background1"/>
                <w:sz w:val="18"/>
                <w:szCs w:val="18"/>
                <w:lang w:val="sr"/>
              </w:rPr>
              <w:t xml:space="preserve"> </w:t>
            </w:r>
          </w:p>
        </w:tc>
      </w:tr>
      <w:tr w:rsidR="00626257" w14:paraId="69AA9045" w14:textId="77777777" w:rsidTr="0069213C">
        <w:trPr>
          <w:trHeight w:val="2146"/>
        </w:trPr>
        <w:tc>
          <w:tcPr>
            <w:tcW w:w="1725" w:type="dxa"/>
          </w:tcPr>
          <w:p w14:paraId="269DA4F8"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Закон о изменама и допунама Закона о здравственом осигурању</w:t>
            </w:r>
          </w:p>
        </w:tc>
        <w:tc>
          <w:tcPr>
            <w:tcW w:w="1501" w:type="dxa"/>
          </w:tcPr>
          <w:p w14:paraId="08CE9264" w14:textId="77777777" w:rsid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август 2011.</w:t>
            </w:r>
          </w:p>
        </w:tc>
        <w:tc>
          <w:tcPr>
            <w:tcW w:w="1950" w:type="dxa"/>
          </w:tcPr>
          <w:p w14:paraId="77D2C710"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Поднета једна иницијатива</w:t>
            </w:r>
          </w:p>
        </w:tc>
        <w:tc>
          <w:tcPr>
            <w:tcW w:w="1878" w:type="dxa"/>
          </w:tcPr>
          <w:p w14:paraId="6C2BAE9D"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Смањење заштите у вези са повредама на раду – незгоде и професионалне болести које се не сматрају повредама на раду</w:t>
            </w:r>
          </w:p>
        </w:tc>
        <w:tc>
          <w:tcPr>
            <w:tcW w:w="1299" w:type="dxa"/>
          </w:tcPr>
          <w:p w14:paraId="62D6BC56" w14:textId="77777777" w:rsid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Неуставно, није у складу са Конвенцијом МОР-а 121, октобар 2012.</w:t>
            </w:r>
          </w:p>
          <w:p w14:paraId="63042075" w14:textId="77777777" w:rsidR="00626257" w:rsidRDefault="00626257" w:rsidP="00623E84">
            <w:pPr>
              <w:pStyle w:val="NoSpacing"/>
              <w:ind w:right="-46"/>
              <w:jc w:val="center"/>
              <w:rPr>
                <w:rFonts w:ascii="Acumin Pro" w:hAnsi="Acumin Pro" w:cstheme="minorHAnsi"/>
                <w:sz w:val="18"/>
                <w:szCs w:val="18"/>
              </w:rPr>
            </w:pPr>
          </w:p>
          <w:p w14:paraId="305E13F4"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(Уставни суд Србије, IУз-314/2011)</w:t>
            </w:r>
          </w:p>
        </w:tc>
        <w:tc>
          <w:tcPr>
            <w:tcW w:w="1296" w:type="dxa"/>
          </w:tcPr>
          <w:p w14:paraId="24303D40" w14:textId="77777777" w:rsid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14 месеци</w:t>
            </w:r>
          </w:p>
        </w:tc>
      </w:tr>
      <w:tr w:rsidR="00626257" w14:paraId="712B6303" w14:textId="77777777" w:rsidTr="0069213C">
        <w:trPr>
          <w:trHeight w:val="1914"/>
        </w:trPr>
        <w:tc>
          <w:tcPr>
            <w:tcW w:w="1725" w:type="dxa"/>
          </w:tcPr>
          <w:p w14:paraId="4F6DA6F8"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Закон о привременом уређивању начина исплате пензија</w:t>
            </w:r>
          </w:p>
        </w:tc>
        <w:tc>
          <w:tcPr>
            <w:tcW w:w="1501" w:type="dxa"/>
          </w:tcPr>
          <w:p w14:paraId="3CAB5442"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новембар 2014.</w:t>
            </w:r>
          </w:p>
        </w:tc>
        <w:tc>
          <w:tcPr>
            <w:tcW w:w="1950" w:type="dxa"/>
          </w:tcPr>
          <w:p w14:paraId="13CC2B7D"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Неидентификован број различитих иницијатива за оцену уставности</w:t>
            </w:r>
          </w:p>
        </w:tc>
        <w:tc>
          <w:tcPr>
            <w:tcW w:w="1878" w:type="dxa"/>
          </w:tcPr>
          <w:p w14:paraId="1AAD2724"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Прогресивно смањење пензија за све пензионере</w:t>
            </w:r>
          </w:p>
          <w:p w14:paraId="7FC3438D"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чије су пензије прелазиле 208 евра</w:t>
            </w:r>
          </w:p>
        </w:tc>
        <w:tc>
          <w:tcPr>
            <w:tcW w:w="1299" w:type="dxa"/>
          </w:tcPr>
          <w:p w14:paraId="01037043"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Одбачено,</w:t>
            </w:r>
          </w:p>
          <w:p w14:paraId="7BF66D83"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Октобар 2015.</w:t>
            </w:r>
          </w:p>
          <w:p w14:paraId="37D43D1E" w14:textId="77777777" w:rsidR="00626257" w:rsidRPr="00626257" w:rsidRDefault="00626257" w:rsidP="00623E84">
            <w:pPr>
              <w:pStyle w:val="NoSpacing"/>
              <w:ind w:right="-46"/>
              <w:jc w:val="center"/>
              <w:rPr>
                <w:rFonts w:ascii="Acumin Pro" w:hAnsi="Acumin Pro" w:cstheme="minorHAnsi"/>
                <w:sz w:val="18"/>
                <w:szCs w:val="18"/>
              </w:rPr>
            </w:pPr>
          </w:p>
          <w:p w14:paraId="643976F2"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(Уставни суд, Решење о одбацивању иницијативе, IУз-531/2014)</w:t>
            </w:r>
          </w:p>
        </w:tc>
        <w:tc>
          <w:tcPr>
            <w:tcW w:w="1296" w:type="dxa"/>
          </w:tcPr>
          <w:p w14:paraId="0B9513F5"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11 месеци</w:t>
            </w:r>
          </w:p>
        </w:tc>
      </w:tr>
      <w:tr w:rsidR="00626257" w14:paraId="08B6D2BA" w14:textId="77777777" w:rsidTr="0069213C">
        <w:trPr>
          <w:trHeight w:val="2378"/>
        </w:trPr>
        <w:tc>
          <w:tcPr>
            <w:tcW w:w="1725" w:type="dxa"/>
          </w:tcPr>
          <w:p w14:paraId="28824F18"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Закон о привременом уређивању начина исплате пензија</w:t>
            </w:r>
          </w:p>
        </w:tc>
        <w:tc>
          <w:tcPr>
            <w:tcW w:w="1501" w:type="dxa"/>
          </w:tcPr>
          <w:p w14:paraId="2A211FDD"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Нове иницијативе поднете у 2015. г.</w:t>
            </w:r>
          </w:p>
        </w:tc>
        <w:tc>
          <w:tcPr>
            <w:tcW w:w="1950" w:type="dxa"/>
          </w:tcPr>
          <w:p w14:paraId="53D03A73"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На десетине различитих иницијатива за оцену уставности</w:t>
            </w:r>
          </w:p>
        </w:tc>
        <w:tc>
          <w:tcPr>
            <w:tcW w:w="1878" w:type="dxa"/>
          </w:tcPr>
          <w:p w14:paraId="765F2D75"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Прогресивно смањење пензија за све пензионере</w:t>
            </w:r>
          </w:p>
          <w:p w14:paraId="3C5FDFFC"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чије су пензије прелазиле 208 евра</w:t>
            </w:r>
          </w:p>
        </w:tc>
        <w:tc>
          <w:tcPr>
            <w:tcW w:w="1299" w:type="dxa"/>
          </w:tcPr>
          <w:p w14:paraId="45209166"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Обустава оцене уставности, април 2019.</w:t>
            </w:r>
          </w:p>
          <w:p w14:paraId="0D76E181" w14:textId="77777777" w:rsidR="00626257" w:rsidRPr="00626257" w:rsidRDefault="00626257" w:rsidP="00623E84">
            <w:pPr>
              <w:pStyle w:val="NoSpacing"/>
              <w:ind w:right="-46"/>
              <w:jc w:val="center"/>
              <w:rPr>
                <w:rFonts w:ascii="Acumin Pro" w:hAnsi="Acumin Pro" w:cstheme="minorHAnsi"/>
                <w:sz w:val="18"/>
                <w:szCs w:val="18"/>
              </w:rPr>
            </w:pPr>
          </w:p>
          <w:p w14:paraId="24B5D779"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(Уставни суд, Решење о обустави поступка за оцену уставности, IУз-351/2015, донето након престанка примене Закона).</w:t>
            </w:r>
          </w:p>
        </w:tc>
        <w:tc>
          <w:tcPr>
            <w:tcW w:w="1296" w:type="dxa"/>
          </w:tcPr>
          <w:p w14:paraId="6F180CFA" w14:textId="77777777" w:rsidR="00626257" w:rsidRPr="00626257" w:rsidRDefault="00626257" w:rsidP="00623E84">
            <w:pPr>
              <w:pStyle w:val="NoSpacing"/>
              <w:ind w:right="-46"/>
              <w:jc w:val="center"/>
              <w:rPr>
                <w:rFonts w:ascii="Acumin Pro" w:hAnsi="Acumin Pro" w:cstheme="minorHAnsi"/>
                <w:sz w:val="18"/>
                <w:szCs w:val="18"/>
              </w:rPr>
            </w:pPr>
            <w:r>
              <w:rPr>
                <w:rFonts w:ascii="Acumin Pro" w:hAnsi="Acumin Pro" w:cstheme="minorHAnsi"/>
                <w:sz w:val="18"/>
                <w:szCs w:val="18"/>
                <w:lang w:val="sr"/>
              </w:rPr>
              <w:t>Скоро три и по године</w:t>
            </w:r>
          </w:p>
        </w:tc>
      </w:tr>
      <w:tr w:rsidR="00626257" w14:paraId="35B1C881" w14:textId="77777777" w:rsidTr="0069213C">
        <w:trPr>
          <w:trHeight w:val="2146"/>
        </w:trPr>
        <w:tc>
          <w:tcPr>
            <w:tcW w:w="1725" w:type="dxa"/>
          </w:tcPr>
          <w:p w14:paraId="68BEDF71" w14:textId="77777777" w:rsidR="00626257" w:rsidRPr="00D7678F" w:rsidRDefault="00626257" w:rsidP="00623E84">
            <w:pPr>
              <w:pStyle w:val="NoSpacing"/>
              <w:ind w:right="519"/>
              <w:jc w:val="center"/>
              <w:rPr>
                <w:rFonts w:ascii="Acumin Pro" w:hAnsi="Acumin Pro" w:cstheme="minorHAnsi"/>
                <w:sz w:val="18"/>
                <w:szCs w:val="18"/>
              </w:rPr>
            </w:pPr>
            <w:r>
              <w:rPr>
                <w:rFonts w:ascii="Acumin Pro" w:hAnsi="Acumin Pro" w:cstheme="minorHAnsi"/>
                <w:sz w:val="18"/>
                <w:szCs w:val="18"/>
                <w:lang w:val="sr"/>
              </w:rPr>
              <w:lastRenderedPageBreak/>
              <w:t>Уредба о мерама социјалне укључености</w:t>
            </w:r>
          </w:p>
          <w:p w14:paraId="7D8EE2E4" w14:textId="77777777" w:rsidR="00626257" w:rsidRPr="00D7678F" w:rsidRDefault="00626257" w:rsidP="00623E84">
            <w:pPr>
              <w:pStyle w:val="NoSpacing"/>
              <w:ind w:right="519"/>
              <w:jc w:val="center"/>
              <w:rPr>
                <w:rFonts w:ascii="Acumin Pro" w:hAnsi="Acumin Pro" w:cstheme="minorHAnsi"/>
                <w:sz w:val="18"/>
                <w:szCs w:val="18"/>
              </w:rPr>
            </w:pPr>
            <w:r>
              <w:rPr>
                <w:rFonts w:ascii="Acumin Pro" w:hAnsi="Acumin Pro" w:cstheme="minorHAnsi"/>
                <w:sz w:val="18"/>
                <w:szCs w:val="18"/>
                <w:lang w:val="sr"/>
              </w:rPr>
              <w:t>корисника новчане помоћи</w:t>
            </w:r>
          </w:p>
        </w:tc>
        <w:tc>
          <w:tcPr>
            <w:tcW w:w="1501" w:type="dxa"/>
          </w:tcPr>
          <w:p w14:paraId="6DA333CB" w14:textId="77777777" w:rsidR="00626257" w:rsidRPr="00D7678F" w:rsidRDefault="00626257" w:rsidP="00623E84">
            <w:pPr>
              <w:pStyle w:val="NoSpacing"/>
              <w:ind w:right="519"/>
              <w:jc w:val="center"/>
              <w:rPr>
                <w:rFonts w:ascii="Acumin Pro" w:hAnsi="Acumin Pro" w:cstheme="minorHAnsi"/>
                <w:sz w:val="18"/>
                <w:szCs w:val="18"/>
              </w:rPr>
            </w:pPr>
            <w:r>
              <w:rPr>
                <w:rFonts w:ascii="Acumin Pro" w:hAnsi="Acumin Pro" w:cstheme="minorHAnsi"/>
                <w:sz w:val="18"/>
                <w:szCs w:val="18"/>
                <w:lang w:val="sr"/>
              </w:rPr>
              <w:t>новембар 2014.</w:t>
            </w:r>
          </w:p>
        </w:tc>
        <w:tc>
          <w:tcPr>
            <w:tcW w:w="1950" w:type="dxa"/>
          </w:tcPr>
          <w:p w14:paraId="2906F366" w14:textId="77777777" w:rsidR="00626257" w:rsidRPr="00D7678F" w:rsidRDefault="00626257" w:rsidP="00623E84">
            <w:pPr>
              <w:pStyle w:val="NoSpacing"/>
              <w:ind w:left="21" w:right="519"/>
              <w:jc w:val="center"/>
              <w:rPr>
                <w:rFonts w:ascii="Acumin Pro" w:hAnsi="Acumin Pro" w:cstheme="minorHAnsi"/>
                <w:sz w:val="18"/>
                <w:szCs w:val="18"/>
              </w:rPr>
            </w:pPr>
            <w:r>
              <w:rPr>
                <w:rFonts w:ascii="Acumin Pro" w:hAnsi="Acumin Pro" w:cstheme="minorHAnsi"/>
                <w:sz w:val="18"/>
                <w:szCs w:val="18"/>
                <w:lang w:val="sr"/>
              </w:rPr>
              <w:t>Четири (2 су поднеле групе невладиних организација, једну је поднела парламентарна странка, једну је поднела Канцеларија омбудсмана)</w:t>
            </w:r>
          </w:p>
        </w:tc>
        <w:tc>
          <w:tcPr>
            <w:tcW w:w="1878" w:type="dxa"/>
          </w:tcPr>
          <w:p w14:paraId="0AB46540" w14:textId="77777777" w:rsidR="00626257" w:rsidRPr="00D7678F" w:rsidRDefault="00626257" w:rsidP="00623E84">
            <w:pPr>
              <w:pStyle w:val="NoSpacing"/>
              <w:ind w:right="519"/>
              <w:jc w:val="center"/>
              <w:rPr>
                <w:rFonts w:ascii="Acumin Pro" w:hAnsi="Acumin Pro" w:cstheme="minorHAnsi"/>
                <w:sz w:val="18"/>
                <w:szCs w:val="18"/>
              </w:rPr>
            </w:pPr>
            <w:r>
              <w:rPr>
                <w:rFonts w:ascii="Acumin Pro" w:hAnsi="Acumin Pro" w:cstheme="minorHAnsi"/>
                <w:sz w:val="18"/>
                <w:szCs w:val="18"/>
                <w:lang w:val="sr"/>
              </w:rPr>
              <w:t>Увођење обавезног, неплаћеног рада за кориснике новчане социјалне помоћи</w:t>
            </w:r>
          </w:p>
        </w:tc>
        <w:tc>
          <w:tcPr>
            <w:tcW w:w="1299" w:type="dxa"/>
          </w:tcPr>
          <w:p w14:paraId="459D0FE2" w14:textId="77777777" w:rsidR="00626257" w:rsidRPr="00D7678F" w:rsidRDefault="00626257" w:rsidP="00623E84">
            <w:pPr>
              <w:pStyle w:val="NoSpacing"/>
              <w:ind w:right="519"/>
              <w:jc w:val="center"/>
              <w:rPr>
                <w:rFonts w:ascii="Acumin Pro" w:hAnsi="Acumin Pro" w:cstheme="minorHAnsi"/>
                <w:sz w:val="18"/>
                <w:szCs w:val="18"/>
              </w:rPr>
            </w:pPr>
            <w:r>
              <w:rPr>
                <w:rFonts w:ascii="Acumin Pro" w:hAnsi="Acumin Pro" w:cstheme="minorHAnsi"/>
                <w:sz w:val="18"/>
                <w:szCs w:val="18"/>
                <w:lang w:val="sr"/>
              </w:rPr>
              <w:t>Одлука на чекању</w:t>
            </w:r>
          </w:p>
        </w:tc>
        <w:tc>
          <w:tcPr>
            <w:tcW w:w="1296" w:type="dxa"/>
          </w:tcPr>
          <w:p w14:paraId="35771D74" w14:textId="77777777" w:rsidR="00626257" w:rsidRPr="00D7678F" w:rsidRDefault="00626257" w:rsidP="00623E84">
            <w:pPr>
              <w:pStyle w:val="NoSpacing"/>
              <w:ind w:right="519"/>
              <w:jc w:val="center"/>
              <w:rPr>
                <w:rFonts w:ascii="Acumin Pro" w:hAnsi="Acumin Pro" w:cstheme="minorHAnsi"/>
                <w:sz w:val="18"/>
                <w:szCs w:val="18"/>
              </w:rPr>
            </w:pPr>
            <w:r>
              <w:rPr>
                <w:rFonts w:ascii="Acumin Pro" w:hAnsi="Acumin Pro" w:cstheme="minorHAnsi"/>
                <w:sz w:val="18"/>
                <w:szCs w:val="18"/>
                <w:lang w:val="sr"/>
              </w:rPr>
              <w:t>Седам година и два месеца</w:t>
            </w:r>
          </w:p>
        </w:tc>
      </w:tr>
      <w:tr w:rsidR="00626257" w14:paraId="6B788517" w14:textId="77777777" w:rsidTr="0069213C">
        <w:trPr>
          <w:trHeight w:val="1149"/>
        </w:trPr>
        <w:tc>
          <w:tcPr>
            <w:tcW w:w="1725" w:type="dxa"/>
          </w:tcPr>
          <w:p w14:paraId="0065BCC8" w14:textId="77777777" w:rsidR="00626257" w:rsidRPr="00D7678F" w:rsidRDefault="00D7678F" w:rsidP="00623E84">
            <w:pPr>
              <w:pStyle w:val="NoSpacing"/>
              <w:ind w:right="-213"/>
              <w:rPr>
                <w:rFonts w:ascii="Acumin Pro" w:hAnsi="Acumin Pro" w:cstheme="minorHAnsi"/>
                <w:sz w:val="18"/>
                <w:szCs w:val="18"/>
              </w:rPr>
            </w:pPr>
            <w:r>
              <w:rPr>
                <w:rFonts w:ascii="Acumin Pro" w:hAnsi="Acumin Pro" w:cstheme="minorHAnsi"/>
                <w:sz w:val="18"/>
                <w:szCs w:val="18"/>
                <w:lang w:val="sr"/>
              </w:rPr>
              <w:t>Закон о порезима на имовину</w:t>
            </w:r>
          </w:p>
        </w:tc>
        <w:tc>
          <w:tcPr>
            <w:tcW w:w="1501" w:type="dxa"/>
          </w:tcPr>
          <w:p w14:paraId="5A07F5CF" w14:textId="77777777" w:rsidR="00626257" w:rsidRPr="00D7678F" w:rsidRDefault="00626257" w:rsidP="00623E84">
            <w:pPr>
              <w:pStyle w:val="NoSpacing"/>
              <w:ind w:left="-250" w:right="519"/>
              <w:jc w:val="center"/>
              <w:rPr>
                <w:rFonts w:ascii="Acumin Pro" w:hAnsi="Acumin Pro" w:cstheme="minorHAnsi"/>
                <w:sz w:val="18"/>
                <w:szCs w:val="18"/>
              </w:rPr>
            </w:pPr>
            <w:r>
              <w:rPr>
                <w:rFonts w:ascii="Acumin Pro" w:hAnsi="Acumin Pro" w:cstheme="minorHAnsi"/>
                <w:sz w:val="18"/>
                <w:szCs w:val="18"/>
                <w:lang w:val="sr"/>
              </w:rPr>
              <w:t>мај 2015.</w:t>
            </w:r>
          </w:p>
        </w:tc>
        <w:tc>
          <w:tcPr>
            <w:tcW w:w="1950" w:type="dxa"/>
          </w:tcPr>
          <w:p w14:paraId="7E6DE608" w14:textId="77777777" w:rsidR="00626257" w:rsidRPr="00D7678F" w:rsidRDefault="00626257" w:rsidP="00623E84">
            <w:pPr>
              <w:pStyle w:val="NoSpacing"/>
              <w:ind w:left="-3" w:right="519"/>
              <w:jc w:val="center"/>
              <w:rPr>
                <w:rFonts w:ascii="Acumin Pro" w:hAnsi="Acumin Pro" w:cstheme="minorHAnsi"/>
                <w:sz w:val="18"/>
                <w:szCs w:val="18"/>
              </w:rPr>
            </w:pPr>
            <w:r>
              <w:rPr>
                <w:rFonts w:ascii="Acumin Pro" w:hAnsi="Acumin Pro" w:cstheme="minorHAnsi"/>
                <w:sz w:val="18"/>
                <w:szCs w:val="18"/>
                <w:lang w:val="sr"/>
              </w:rPr>
              <w:t>Једна (НВО је поднела иницијативу)</w:t>
            </w:r>
          </w:p>
        </w:tc>
        <w:tc>
          <w:tcPr>
            <w:tcW w:w="1878" w:type="dxa"/>
          </w:tcPr>
          <w:p w14:paraId="591EB558" w14:textId="77777777" w:rsidR="00626257" w:rsidRPr="00D7678F" w:rsidRDefault="00626257" w:rsidP="00623E84">
            <w:pPr>
              <w:pStyle w:val="NoSpacing"/>
              <w:ind w:left="-69" w:right="519"/>
              <w:jc w:val="center"/>
              <w:rPr>
                <w:rFonts w:ascii="Acumin Pro" w:hAnsi="Acumin Pro" w:cstheme="minorHAnsi"/>
                <w:sz w:val="18"/>
                <w:szCs w:val="18"/>
              </w:rPr>
            </w:pPr>
            <w:r>
              <w:rPr>
                <w:rFonts w:ascii="Acumin Pro" w:hAnsi="Acumin Pro" w:cstheme="minorHAnsi"/>
                <w:sz w:val="18"/>
                <w:szCs w:val="18"/>
                <w:lang w:val="sr"/>
              </w:rPr>
              <w:t>Порез на закуп социјалног становања</w:t>
            </w:r>
          </w:p>
        </w:tc>
        <w:tc>
          <w:tcPr>
            <w:tcW w:w="1299" w:type="dxa"/>
          </w:tcPr>
          <w:p w14:paraId="0A1FD54D" w14:textId="77777777" w:rsidR="00626257" w:rsidRPr="00D7678F" w:rsidRDefault="00626257" w:rsidP="0069213C">
            <w:pPr>
              <w:pStyle w:val="NoSpacing"/>
              <w:ind w:left="-250" w:right="198"/>
              <w:jc w:val="center"/>
              <w:rPr>
                <w:rFonts w:ascii="Acumin Pro" w:hAnsi="Acumin Pro" w:cstheme="minorHAnsi"/>
                <w:sz w:val="18"/>
                <w:szCs w:val="18"/>
              </w:rPr>
            </w:pPr>
            <w:r>
              <w:rPr>
                <w:rFonts w:ascii="Acumin Pro" w:hAnsi="Acumin Pro" w:cstheme="minorHAnsi"/>
                <w:sz w:val="18"/>
                <w:szCs w:val="18"/>
                <w:lang w:val="sr"/>
              </w:rPr>
              <w:t>Одлука на чекању</w:t>
            </w:r>
          </w:p>
        </w:tc>
        <w:tc>
          <w:tcPr>
            <w:tcW w:w="1296" w:type="dxa"/>
          </w:tcPr>
          <w:p w14:paraId="0246A6C5" w14:textId="77777777" w:rsidR="00626257" w:rsidRPr="00D7678F" w:rsidRDefault="00626257" w:rsidP="0069213C">
            <w:pPr>
              <w:pStyle w:val="NoSpacing"/>
              <w:ind w:left="-250" w:right="-207"/>
              <w:jc w:val="center"/>
              <w:rPr>
                <w:rFonts w:ascii="Acumin Pro" w:hAnsi="Acumin Pro" w:cstheme="minorHAnsi"/>
                <w:sz w:val="18"/>
                <w:szCs w:val="18"/>
              </w:rPr>
            </w:pPr>
            <w:r>
              <w:rPr>
                <w:rFonts w:ascii="Acumin Pro" w:hAnsi="Acumin Pro" w:cstheme="minorHAnsi"/>
                <w:sz w:val="18"/>
                <w:szCs w:val="18"/>
                <w:lang w:val="sr"/>
              </w:rPr>
              <w:t>Шест година и осам месеци</w:t>
            </w:r>
          </w:p>
        </w:tc>
      </w:tr>
      <w:tr w:rsidR="00626257" w14:paraId="2F810F3B" w14:textId="77777777" w:rsidTr="0069213C">
        <w:trPr>
          <w:trHeight w:val="2854"/>
        </w:trPr>
        <w:tc>
          <w:tcPr>
            <w:tcW w:w="1725" w:type="dxa"/>
          </w:tcPr>
          <w:p w14:paraId="0996C609" w14:textId="77777777" w:rsidR="00626257" w:rsidRPr="00D7678F" w:rsidRDefault="00626257" w:rsidP="00623E84">
            <w:pPr>
              <w:pStyle w:val="NoSpacing"/>
              <w:ind w:left="-108" w:right="519"/>
              <w:jc w:val="center"/>
              <w:rPr>
                <w:rFonts w:ascii="Acumin Pro" w:hAnsi="Acumin Pro" w:cstheme="minorHAnsi"/>
                <w:sz w:val="18"/>
                <w:szCs w:val="18"/>
              </w:rPr>
            </w:pPr>
            <w:r>
              <w:rPr>
                <w:rFonts w:ascii="Acumin Pro" w:hAnsi="Acumin Pro" w:cstheme="minorHAnsi"/>
                <w:sz w:val="18"/>
                <w:szCs w:val="18"/>
                <w:lang w:val="sr"/>
              </w:rPr>
              <w:t>Закон</w:t>
            </w:r>
          </w:p>
          <w:p w14:paraId="7838096E" w14:textId="77777777" w:rsidR="00626257" w:rsidRPr="00E60859" w:rsidRDefault="00623E84" w:rsidP="00623E84">
            <w:pPr>
              <w:pStyle w:val="NoSpacing"/>
              <w:ind w:left="-108" w:right="519"/>
              <w:jc w:val="center"/>
              <w:rPr>
                <w:rFonts w:ascii="Acumin Pro" w:hAnsi="Acumin Pro" w:cstheme="minorHAnsi"/>
                <w:sz w:val="16"/>
                <w:szCs w:val="16"/>
              </w:rPr>
            </w:pPr>
            <w:r>
              <w:rPr>
                <w:rFonts w:ascii="Acumin Pro" w:hAnsi="Acumin Pro" w:cstheme="minorHAnsi"/>
                <w:sz w:val="18"/>
                <w:szCs w:val="18"/>
                <w:lang w:val="sr"/>
              </w:rPr>
              <w:t xml:space="preserve"> о финансијској подршци породици са децом, чл. 25, 1–6</w:t>
            </w:r>
          </w:p>
        </w:tc>
        <w:tc>
          <w:tcPr>
            <w:tcW w:w="1501" w:type="dxa"/>
          </w:tcPr>
          <w:p w14:paraId="18CEA9B7" w14:textId="77777777" w:rsidR="00626257" w:rsidRPr="00D7678F" w:rsidRDefault="00626257" w:rsidP="00623E84">
            <w:pPr>
              <w:pStyle w:val="NoSpacing"/>
              <w:ind w:left="-3" w:right="519"/>
              <w:jc w:val="center"/>
              <w:rPr>
                <w:rFonts w:ascii="Acumin Pro" w:hAnsi="Acumin Pro" w:cstheme="minorHAnsi"/>
                <w:sz w:val="18"/>
                <w:szCs w:val="18"/>
              </w:rPr>
            </w:pPr>
            <w:r>
              <w:rPr>
                <w:rFonts w:ascii="Acumin Pro" w:hAnsi="Acumin Pro" w:cstheme="minorHAnsi"/>
                <w:sz w:val="18"/>
                <w:szCs w:val="18"/>
                <w:lang w:val="sr"/>
              </w:rPr>
              <w:t>октобар 2018.</w:t>
            </w:r>
          </w:p>
        </w:tc>
        <w:tc>
          <w:tcPr>
            <w:tcW w:w="1950" w:type="dxa"/>
          </w:tcPr>
          <w:p w14:paraId="4B51828F" w14:textId="77777777" w:rsidR="00626257" w:rsidRPr="00D7678F" w:rsidRDefault="00626257" w:rsidP="00623E84">
            <w:pPr>
              <w:pStyle w:val="NoSpacing"/>
              <w:ind w:left="-3" w:right="519"/>
              <w:jc w:val="center"/>
              <w:rPr>
                <w:rFonts w:ascii="Acumin Pro" w:hAnsi="Acumin Pro" w:cstheme="minorHAnsi"/>
                <w:sz w:val="18"/>
                <w:szCs w:val="18"/>
              </w:rPr>
            </w:pPr>
            <w:r>
              <w:rPr>
                <w:rFonts w:ascii="Acumin Pro" w:hAnsi="Acumin Pro" w:cstheme="minorHAnsi"/>
                <w:sz w:val="18"/>
                <w:szCs w:val="18"/>
                <w:lang w:val="sr"/>
              </w:rPr>
              <w:t>Једна (НВО је поднела иницијативу)</w:t>
            </w:r>
          </w:p>
        </w:tc>
        <w:tc>
          <w:tcPr>
            <w:tcW w:w="1878" w:type="dxa"/>
          </w:tcPr>
          <w:p w14:paraId="110A80D1" w14:textId="77777777" w:rsidR="00626257" w:rsidRPr="00D7678F" w:rsidRDefault="00626257" w:rsidP="00623E84">
            <w:pPr>
              <w:pStyle w:val="NoSpacing"/>
              <w:ind w:right="519"/>
              <w:jc w:val="center"/>
              <w:rPr>
                <w:rFonts w:ascii="Acumin Pro" w:hAnsi="Acumin Pro" w:cstheme="minorHAnsi"/>
                <w:sz w:val="18"/>
                <w:szCs w:val="18"/>
              </w:rPr>
            </w:pPr>
            <w:r>
              <w:rPr>
                <w:rFonts w:ascii="Acumin Pro" w:hAnsi="Acumin Pro" w:cstheme="minorHAnsi"/>
                <w:sz w:val="18"/>
                <w:szCs w:val="18"/>
                <w:lang w:val="sr"/>
              </w:rPr>
              <w:t>Укидање права на родитељски додатак ако најмање</w:t>
            </w:r>
          </w:p>
          <w:p w14:paraId="5AFC95BC" w14:textId="77777777" w:rsidR="00626257" w:rsidRPr="00D7678F" w:rsidRDefault="00626257" w:rsidP="00623E84">
            <w:pPr>
              <w:pStyle w:val="NoSpacing"/>
              <w:ind w:right="519"/>
              <w:jc w:val="center"/>
              <w:rPr>
                <w:rFonts w:ascii="Acumin Pro" w:hAnsi="Acumin Pro" w:cstheme="minorHAnsi"/>
                <w:sz w:val="18"/>
                <w:szCs w:val="18"/>
              </w:rPr>
            </w:pPr>
            <w:r>
              <w:rPr>
                <w:rFonts w:ascii="Acumin Pro" w:hAnsi="Acumin Pro" w:cstheme="minorHAnsi"/>
                <w:sz w:val="18"/>
                <w:szCs w:val="18"/>
                <w:lang w:val="sr"/>
              </w:rPr>
              <w:t>једно од деце у породици није у току са обавезним распоредом вакцинација или</w:t>
            </w:r>
          </w:p>
          <w:p w14:paraId="270935E6" w14:textId="77777777" w:rsidR="00626257" w:rsidRPr="00D7678F" w:rsidRDefault="00626257" w:rsidP="00623E84">
            <w:pPr>
              <w:pStyle w:val="NoSpacing"/>
              <w:ind w:right="519"/>
              <w:jc w:val="center"/>
              <w:rPr>
                <w:rFonts w:ascii="Acumin Pro" w:hAnsi="Acumin Pro" w:cstheme="minorHAnsi"/>
                <w:sz w:val="18"/>
                <w:szCs w:val="18"/>
              </w:rPr>
            </w:pPr>
            <w:r>
              <w:rPr>
                <w:rFonts w:ascii="Acumin Pro" w:hAnsi="Acumin Pro" w:cstheme="minorHAnsi"/>
                <w:sz w:val="18"/>
                <w:szCs w:val="18"/>
                <w:lang w:val="sr"/>
              </w:rPr>
              <w:t>не похађа редовну основну школу, односно предшколски припремни програм – негативно несразмерно утиче на ромску децу из неформалних насеља</w:t>
            </w:r>
          </w:p>
        </w:tc>
        <w:tc>
          <w:tcPr>
            <w:tcW w:w="1299" w:type="dxa"/>
          </w:tcPr>
          <w:p w14:paraId="276581E9" w14:textId="77777777" w:rsidR="00626257" w:rsidRPr="00D7678F" w:rsidRDefault="00626257" w:rsidP="0069213C">
            <w:pPr>
              <w:pStyle w:val="NoSpacing"/>
              <w:ind w:left="-249" w:right="56"/>
              <w:jc w:val="center"/>
              <w:rPr>
                <w:rFonts w:ascii="Acumin Pro" w:hAnsi="Acumin Pro" w:cstheme="minorHAnsi"/>
                <w:sz w:val="18"/>
                <w:szCs w:val="18"/>
              </w:rPr>
            </w:pPr>
            <w:r>
              <w:rPr>
                <w:rFonts w:ascii="Acumin Pro" w:hAnsi="Acumin Pro" w:cstheme="minorHAnsi"/>
                <w:sz w:val="18"/>
                <w:szCs w:val="18"/>
                <w:lang w:val="sr"/>
              </w:rPr>
              <w:t>Одлука на чекању</w:t>
            </w:r>
          </w:p>
        </w:tc>
        <w:tc>
          <w:tcPr>
            <w:tcW w:w="1296" w:type="dxa"/>
          </w:tcPr>
          <w:p w14:paraId="7C359AD0" w14:textId="77777777" w:rsidR="00626257" w:rsidRPr="00D7678F" w:rsidRDefault="00626257" w:rsidP="00623E84">
            <w:pPr>
              <w:pStyle w:val="NoSpacing"/>
              <w:ind w:right="-51"/>
              <w:jc w:val="center"/>
              <w:rPr>
                <w:rFonts w:ascii="Acumin Pro" w:hAnsi="Acumin Pro" w:cstheme="minorHAnsi"/>
                <w:sz w:val="18"/>
                <w:szCs w:val="18"/>
              </w:rPr>
            </w:pPr>
            <w:r>
              <w:rPr>
                <w:rFonts w:ascii="Acumin Pro" w:hAnsi="Acumin Pro" w:cstheme="minorHAnsi"/>
                <w:sz w:val="18"/>
                <w:szCs w:val="18"/>
                <w:lang w:val="sr"/>
              </w:rPr>
              <w:t xml:space="preserve">Три године и три месеца </w:t>
            </w:r>
          </w:p>
        </w:tc>
      </w:tr>
    </w:tbl>
    <w:p w14:paraId="0532130B" w14:textId="77777777" w:rsidR="004F4DFA" w:rsidRDefault="004F4DFA" w:rsidP="00E60859">
      <w:pPr>
        <w:pStyle w:val="Heading2"/>
        <w:ind w:left="-426" w:right="-613"/>
        <w:rPr>
          <w:rFonts w:asciiTheme="minorHAnsi" w:hAnsiTheme="minorHAnsi"/>
          <w:b/>
          <w:bCs/>
          <w:color w:val="auto"/>
          <w:lang w:val="sr-Cyrl-RS"/>
        </w:rPr>
      </w:pPr>
      <w:bookmarkStart w:id="4" w:name="_Toc93918919"/>
    </w:p>
    <w:p w14:paraId="6D1140D8" w14:textId="77777777" w:rsidR="00626257" w:rsidRPr="005E55DB" w:rsidRDefault="00626257" w:rsidP="00E60859">
      <w:pPr>
        <w:pStyle w:val="Heading2"/>
        <w:ind w:left="-426" w:right="-613"/>
        <w:rPr>
          <w:rFonts w:ascii="Acumin Pro" w:hAnsi="Acumin Pro"/>
          <w:b/>
          <w:bCs/>
          <w:color w:val="auto"/>
        </w:rPr>
      </w:pPr>
      <w:r>
        <w:rPr>
          <w:rFonts w:ascii="Acumin Pro" w:hAnsi="Acumin Pro"/>
          <w:b/>
          <w:bCs/>
          <w:color w:val="auto"/>
          <w:lang w:val="sr"/>
        </w:rPr>
        <w:t>РАТИФИКАЦИЈА ОПЦИОНОГ ПРОТОКОЛА</w:t>
      </w:r>
      <w:bookmarkEnd w:id="4"/>
      <w:r>
        <w:rPr>
          <w:rFonts w:ascii="Acumin Pro" w:hAnsi="Acumin Pro"/>
          <w:color w:val="auto"/>
          <w:lang w:val="sr"/>
        </w:rPr>
        <w:t xml:space="preserve"> </w:t>
      </w:r>
    </w:p>
    <w:p w14:paraId="49F192FB" w14:textId="77777777" w:rsidR="00626257" w:rsidRDefault="00626257" w:rsidP="00E60859">
      <w:pPr>
        <w:pStyle w:val="NoSpacing"/>
        <w:ind w:left="-426" w:right="-613"/>
        <w:jc w:val="both"/>
        <w:rPr>
          <w:rFonts w:ascii="Acumin Pro" w:hAnsi="Acumin Pro" w:cstheme="minorHAnsi"/>
        </w:rPr>
      </w:pPr>
    </w:p>
    <w:p w14:paraId="53A09268" w14:textId="776F41CB" w:rsidR="00B27CAF" w:rsidRPr="00D12406" w:rsidRDefault="00B27CAF" w:rsidP="00E60859">
      <w:pPr>
        <w:pStyle w:val="NoSpacing"/>
        <w:numPr>
          <w:ilvl w:val="0"/>
          <w:numId w:val="19"/>
        </w:numPr>
        <w:ind w:left="-426" w:right="-613"/>
        <w:jc w:val="both"/>
        <w:rPr>
          <w:rFonts w:ascii="Acumin Pro" w:hAnsi="Acumin Pro" w:cstheme="minorHAnsi"/>
          <w:b/>
          <w:bCs/>
        </w:rPr>
      </w:pPr>
      <w:r>
        <w:rPr>
          <w:rFonts w:ascii="Acumin Pro" w:hAnsi="Acumin Pro" w:cstheme="minorHAnsi"/>
          <w:lang w:val="sr"/>
        </w:rPr>
        <w:t>Након узастопних иницијатива за ратификацију Опционог протокола уз Пакт о економским, социјалним и културним правима</w:t>
      </w:r>
      <w:bookmarkStart w:id="5" w:name="_GoBack"/>
      <w:r w:rsidRPr="00C479D3">
        <w:rPr>
          <w:rStyle w:val="FootnoteReference"/>
        </w:rPr>
        <w:footnoteReference w:id="10"/>
      </w:r>
      <w:bookmarkEnd w:id="5"/>
      <w:r>
        <w:rPr>
          <w:rFonts w:ascii="Acumin Pro" w:hAnsi="Acumin Pro" w:cstheme="minorHAnsi"/>
          <w:lang w:val="sr"/>
        </w:rPr>
        <w:t>, надлежно Министарство за људска и мањинска права и социјални дијалог организовало је састанке са заинтересованим невладиним организацијама и другим надлежним министарствима, и у децембру 2021. године обавестило је јавност да је предложило ратификацију Опционог протокола у Годишњем плану Владе Републике Србије</w:t>
      </w:r>
      <w:r w:rsidRPr="00C479D3">
        <w:rPr>
          <w:rStyle w:val="FootnoteReference"/>
        </w:rPr>
        <w:footnoteReference w:id="11"/>
      </w:r>
      <w:r w:rsidRPr="0094045C">
        <w:rPr>
          <w:rFonts w:ascii="Acumin Pro" w:hAnsi="Acumin Pro" w:cstheme="minorHAnsi"/>
          <w:lang w:val="sr"/>
        </w:rPr>
        <w:t>.</w:t>
      </w:r>
      <w:r>
        <w:rPr>
          <w:rFonts w:ascii="Acumin Pro" w:hAnsi="Acumin Pro" w:cstheme="minorHAnsi"/>
          <w:lang w:val="sr"/>
        </w:rPr>
        <w:t xml:space="preserve"> У том смислу су потребни даљи кораци и разговори, али ова иницијатива представља напредак у односу на претходни период када је надлежно министарство без </w:t>
      </w:r>
      <w:r w:rsidR="0069213C">
        <w:rPr>
          <w:lang w:val="sr-Cyrl-RS"/>
        </w:rPr>
        <w:t>иједне речи</w:t>
      </w:r>
      <w:r w:rsidR="0069213C">
        <w:rPr>
          <w:rFonts w:ascii="Acumin Pro" w:hAnsi="Acumin Pro" w:cstheme="minorHAnsi"/>
          <w:lang w:val="sr"/>
        </w:rPr>
        <w:t xml:space="preserve"> </w:t>
      </w:r>
      <w:r>
        <w:rPr>
          <w:rFonts w:ascii="Acumin Pro" w:hAnsi="Acumin Pro" w:cstheme="minorHAnsi"/>
          <w:lang w:val="sr"/>
        </w:rPr>
        <w:t>образложења одбацило иницијативу за ратификацију Опционог протокола.</w:t>
      </w:r>
      <w:r>
        <w:rPr>
          <w:rStyle w:val="FootnoteReference"/>
          <w:rFonts w:ascii="Acumin Pro" w:hAnsi="Acumin Pro" w:cstheme="minorHAnsi"/>
          <w:lang w:val="sr"/>
        </w:rPr>
        <w:footnoteReference w:id="12"/>
      </w:r>
    </w:p>
    <w:p w14:paraId="521D76D9" w14:textId="77777777" w:rsidR="00D12406" w:rsidRDefault="00D12406" w:rsidP="00E60859">
      <w:pPr>
        <w:pStyle w:val="NoSpacing"/>
        <w:ind w:left="-426" w:right="-613"/>
        <w:jc w:val="both"/>
        <w:rPr>
          <w:rFonts w:ascii="Acumin Pro" w:hAnsi="Acumin Pro" w:cstheme="minorHAnsi"/>
          <w:b/>
          <w:bCs/>
        </w:rPr>
      </w:pPr>
    </w:p>
    <w:p w14:paraId="4F653F38" w14:textId="77777777" w:rsidR="00B27CAF" w:rsidRPr="005E55DB" w:rsidRDefault="00626257" w:rsidP="00E60859">
      <w:pPr>
        <w:pStyle w:val="Heading2"/>
        <w:ind w:left="-426" w:right="-613"/>
        <w:rPr>
          <w:rFonts w:ascii="Acumin Pro" w:hAnsi="Acumin Pro"/>
          <w:b/>
          <w:bCs/>
          <w:color w:val="auto"/>
        </w:rPr>
      </w:pPr>
      <w:bookmarkStart w:id="6" w:name="_Toc93918920"/>
      <w:r>
        <w:rPr>
          <w:rFonts w:ascii="Acumin Pro" w:hAnsi="Acumin Pro"/>
          <w:b/>
          <w:bCs/>
          <w:color w:val="auto"/>
          <w:lang w:val="sr"/>
        </w:rPr>
        <w:lastRenderedPageBreak/>
        <w:t>ЕФИКАСНО СПРОВОЂЕЊЕ БЕСПЛАТНЕ ПРАВНЕ ПОМОЋИ</w:t>
      </w:r>
      <w:bookmarkEnd w:id="6"/>
      <w:r>
        <w:rPr>
          <w:rFonts w:ascii="Acumin Pro" w:hAnsi="Acumin Pro"/>
          <w:color w:val="auto"/>
          <w:lang w:val="sr"/>
        </w:rPr>
        <w:t xml:space="preserve"> </w:t>
      </w:r>
    </w:p>
    <w:p w14:paraId="7A371FC2" w14:textId="77777777" w:rsidR="00D12406" w:rsidRDefault="00D12406" w:rsidP="00E60859">
      <w:pPr>
        <w:pStyle w:val="NoSpacing"/>
        <w:ind w:left="-426" w:right="-613"/>
        <w:jc w:val="both"/>
        <w:rPr>
          <w:rFonts w:ascii="Acumin Pro" w:hAnsi="Acumin Pro" w:cstheme="minorHAnsi"/>
          <w:color w:val="000000"/>
        </w:rPr>
      </w:pPr>
    </w:p>
    <w:p w14:paraId="2FCA3C34" w14:textId="023C0D86" w:rsidR="00862E6F" w:rsidRDefault="00626257" w:rsidP="00E60859">
      <w:pPr>
        <w:pStyle w:val="NoSpacing"/>
        <w:numPr>
          <w:ilvl w:val="0"/>
          <w:numId w:val="19"/>
        </w:numPr>
        <w:ind w:left="-426" w:right="-613"/>
        <w:jc w:val="both"/>
        <w:rPr>
          <w:rFonts w:ascii="Acumin Pro" w:hAnsi="Acumin Pro" w:cstheme="minorHAnsi"/>
        </w:rPr>
      </w:pPr>
      <w:r>
        <w:rPr>
          <w:rFonts w:ascii="Acumin Pro" w:hAnsi="Acumin Pro" w:cstheme="minorHAnsi"/>
          <w:color w:val="000000"/>
          <w:lang w:val="sr"/>
        </w:rPr>
        <w:t>Од доношења Закона о бесплатној правној помоћи</w:t>
      </w:r>
      <w:r>
        <w:rPr>
          <w:rStyle w:val="FootnoteReference"/>
          <w:rFonts w:ascii="Acumin Pro" w:hAnsi="Acumin Pro" w:cstheme="minorHAnsi"/>
          <w:color w:val="000000"/>
          <w:lang w:val="sr"/>
        </w:rPr>
        <w:footnoteReference w:id="13"/>
      </w:r>
      <w:r>
        <w:rPr>
          <w:rFonts w:ascii="Acumin Pro" w:hAnsi="Acumin Pro" w:cstheme="minorHAnsi"/>
          <w:color w:val="000000"/>
          <w:lang w:val="sr"/>
        </w:rPr>
        <w:t>, локална самоуправа је у обавези да формира јединице за бесплатну правну помоћ, као и да издваја средства за њихов рад. Међутим, немају све јединице локалне самоуправе довољне капацитете, односно кадрове за пружање правне помоћи, па чак ни услуге бесплатне правне помоћи грађанима.</w:t>
      </w:r>
      <w:r w:rsidRPr="00C479D3">
        <w:rPr>
          <w:rStyle w:val="FootnoteReference"/>
        </w:rPr>
        <w:footnoteReference w:id="14"/>
      </w:r>
      <w:r>
        <w:rPr>
          <w:rFonts w:ascii="Acumin Pro" w:hAnsi="Acumin Pro" w:cstheme="minorHAnsi"/>
          <w:color w:val="000000"/>
          <w:lang w:val="sr"/>
        </w:rPr>
        <w:t xml:space="preserve"> О томе говори податак да 96 градова и општина (55% од укупног броја градова и општина у Србији) није испунило законску обавезу оснивања службе бесплатне правне помоћи.</w:t>
      </w:r>
      <w:r w:rsidRPr="00C479D3">
        <w:rPr>
          <w:rStyle w:val="FootnoteReference"/>
        </w:rPr>
        <w:footnoteReference w:id="15"/>
      </w:r>
      <w:r>
        <w:rPr>
          <w:rFonts w:ascii="Acumin Pro" w:hAnsi="Acumin Pro" w:cstheme="minorHAnsi"/>
          <w:color w:val="000000"/>
          <w:lang w:val="sr"/>
        </w:rPr>
        <w:t xml:space="preserve"> На пример, град Ниш, трећи по величини град у Србији, има значајна ограничења у пружању услуга правне помоћи – чак ни сајт града или градске општине не пружа информације грађанима о њиховом праву на бесплатну правну помоћ.</w:t>
      </w:r>
      <w:r>
        <w:rPr>
          <w:rStyle w:val="FootnoteReference"/>
          <w:rFonts w:ascii="Acumin Pro" w:hAnsi="Acumin Pro" w:cstheme="minorHAnsi"/>
          <w:color w:val="000000"/>
          <w:lang w:val="sr"/>
        </w:rPr>
        <w:footnoteReference w:id="16"/>
      </w:r>
      <w:r>
        <w:rPr>
          <w:rFonts w:ascii="Acumin Pro" w:hAnsi="Acumin Pro" w:cstheme="minorHAnsi"/>
          <w:color w:val="000000"/>
          <w:lang w:val="sr"/>
        </w:rPr>
        <w:t xml:space="preserve"> Остале активности за промоцију бесплатне правне помоћи грађанима нису идентификоване од усвајања Закона. Поред тога, Србија такође није издвојила све расположиве ресурсе по овом питању. Упркос чињеници да постоји ограничење у броју пружалаца бесплатне правне помоћи, Закон о бесплатној правној помоћи значајно је ограничио могућности ОЦД да пружају правну помоћ.</w:t>
      </w:r>
      <w:r w:rsidRPr="00C479D3">
        <w:rPr>
          <w:rStyle w:val="FootnoteReference"/>
        </w:rPr>
        <w:footnoteReference w:id="17"/>
      </w:r>
      <w:r w:rsidRPr="00C479D3">
        <w:rPr>
          <w:rStyle w:val="FootnoteReference"/>
        </w:rPr>
        <w:t xml:space="preserve"> </w:t>
      </w:r>
    </w:p>
    <w:p w14:paraId="7C7471ED" w14:textId="6BCC429B" w:rsidR="00B27CAF" w:rsidRPr="00862E6F" w:rsidRDefault="00B27CAF" w:rsidP="00E60859">
      <w:pPr>
        <w:pStyle w:val="NoSpacing"/>
        <w:numPr>
          <w:ilvl w:val="0"/>
          <w:numId w:val="19"/>
        </w:numPr>
        <w:ind w:left="-426" w:right="-613"/>
        <w:jc w:val="both"/>
        <w:rPr>
          <w:rFonts w:ascii="Acumin Pro" w:hAnsi="Acumin Pro" w:cstheme="minorHAnsi"/>
        </w:rPr>
      </w:pPr>
      <w:r>
        <w:rPr>
          <w:rFonts w:ascii="Acumin Pro" w:hAnsi="Acumin Pro" w:cstheme="minorHAnsi"/>
          <w:color w:val="000000"/>
          <w:lang w:val="sr"/>
        </w:rPr>
        <w:t>Закон о бесплатној правној помоћи усвојен је са значајним недостацима, непрецизним и контрадикторним одредбама које повећавају ризик од правне несигурности и проблема у пракси.</w:t>
      </w:r>
      <w:r w:rsidRPr="00C479D3">
        <w:rPr>
          <w:rStyle w:val="FootnoteReference"/>
        </w:rPr>
        <w:footnoteReference w:id="18"/>
      </w:r>
      <w:r w:rsidR="0094045C">
        <w:rPr>
          <w:rFonts w:ascii="Acumin Pro" w:hAnsi="Acumin Pro" w:cstheme="minorHAnsi"/>
          <w:color w:val="000000"/>
          <w:lang w:val="sr"/>
        </w:rPr>
        <w:t xml:space="preserve"> </w:t>
      </w:r>
      <w:r>
        <w:rPr>
          <w:rFonts w:ascii="Acumin Pro" w:hAnsi="Acumin Pro" w:cstheme="minorHAnsi"/>
          <w:color w:val="000000"/>
          <w:lang w:val="sr"/>
        </w:rPr>
        <w:t>Органи надлежни за спровођење Закона често крше његове одредбе, док угрожени грађани углавном нису свесни могућности добијања бесплатне правне помоћи.</w:t>
      </w:r>
      <w:r w:rsidRPr="00C479D3">
        <w:rPr>
          <w:rStyle w:val="FootnoteReference"/>
        </w:rPr>
        <w:footnoteReference w:id="19"/>
      </w:r>
      <w:r w:rsidR="0094045C">
        <w:rPr>
          <w:rFonts w:ascii="Acumin Pro" w:hAnsi="Acumin Pro" w:cstheme="minorHAnsi"/>
          <w:color w:val="000000"/>
          <w:lang w:val="sr"/>
        </w:rPr>
        <w:t xml:space="preserve"> </w:t>
      </w:r>
      <w:r>
        <w:rPr>
          <w:rFonts w:ascii="Acumin Pro" w:hAnsi="Acumin Pro" w:cstheme="minorHAnsi"/>
          <w:color w:val="000000"/>
          <w:lang w:val="sr"/>
        </w:rPr>
        <w:t xml:space="preserve">На пример, захтеви за бесплатну правну помоћ лица која нису уписана у матичну књигу рођених често се одбијају на основу тога што немају документа или пријављено пребивалиште у општини у којој се пријављују за бесплатну правну помоћ, иако се пријављују за бесплатну правну помоћ </w:t>
      </w:r>
      <w:r>
        <w:rPr>
          <w:rFonts w:ascii="Acumin Pro" w:hAnsi="Acumin Pro" w:cstheme="minorHAnsi"/>
          <w:lang w:val="sr"/>
        </w:rPr>
        <w:t>управо</w:t>
      </w:r>
      <w:r>
        <w:rPr>
          <w:rFonts w:ascii="Acumin Pro" w:hAnsi="Acumin Pro" w:cstheme="minorHAnsi"/>
          <w:color w:val="000000"/>
          <w:lang w:val="sr"/>
        </w:rPr>
        <w:t xml:space="preserve"> ради добијања личних докумената.</w:t>
      </w:r>
      <w:r w:rsidRPr="00C479D3">
        <w:rPr>
          <w:rStyle w:val="FootnoteReference"/>
        </w:rPr>
        <w:footnoteReference w:id="20"/>
      </w:r>
    </w:p>
    <w:p w14:paraId="1A43858A" w14:textId="77777777" w:rsidR="00626257" w:rsidRDefault="00626257" w:rsidP="00E60859">
      <w:pPr>
        <w:pStyle w:val="NoSpacing"/>
        <w:ind w:left="-426" w:right="-613"/>
        <w:jc w:val="both"/>
        <w:rPr>
          <w:rFonts w:ascii="Acumin Pro" w:hAnsi="Acumin Pro" w:cstheme="minorHAnsi"/>
          <w:color w:val="000000"/>
        </w:rPr>
      </w:pPr>
    </w:p>
    <w:p w14:paraId="2B66BD1A" w14:textId="77777777" w:rsidR="00626257" w:rsidRDefault="00626257" w:rsidP="00E60859">
      <w:pPr>
        <w:pStyle w:val="NoSpacing"/>
        <w:ind w:left="-426" w:right="-613"/>
        <w:jc w:val="both"/>
        <w:rPr>
          <w:rFonts w:ascii="Neue Machina Ultrabold" w:hAnsi="Neue Machina Ultrabold" w:cstheme="minorHAnsi"/>
          <w:color w:val="FFFFFF" w:themeColor="background1"/>
          <w:sz w:val="32"/>
          <w:szCs w:val="32"/>
        </w:rPr>
      </w:pPr>
      <w:r>
        <w:rPr>
          <w:rFonts w:ascii="Neue Machina Ultrabold" w:hAnsi="Neue Machina Ultrabold" w:cstheme="minorHAnsi"/>
          <w:color w:val="FFFFFF" w:themeColor="background1"/>
          <w:sz w:val="32"/>
          <w:szCs w:val="32"/>
          <w:highlight w:val="red"/>
          <w:lang w:val="sr"/>
        </w:rPr>
        <w:t>ПИТАЊА КОЈА СЕ ОДНОСЕ НА ОПШТЕ ОДРЕДБЕ ПАКТА (ЧЛАНОВИ 1–5)</w:t>
      </w:r>
    </w:p>
    <w:p w14:paraId="1F714A3E" w14:textId="77777777" w:rsidR="005E55DB" w:rsidRDefault="005E55DB" w:rsidP="00E60859">
      <w:pPr>
        <w:pStyle w:val="NoSpacing"/>
        <w:ind w:left="-426" w:right="-613"/>
        <w:jc w:val="both"/>
        <w:rPr>
          <w:rFonts w:ascii="Acumin Pro" w:hAnsi="Acumin Pro" w:cstheme="minorHAnsi"/>
          <w:color w:val="000000"/>
        </w:rPr>
      </w:pPr>
    </w:p>
    <w:p w14:paraId="5839DE0D" w14:textId="77777777" w:rsidR="005E55DB" w:rsidRPr="008129D5" w:rsidRDefault="008129D5" w:rsidP="00E60859">
      <w:pPr>
        <w:pStyle w:val="Heading2"/>
        <w:ind w:left="-426" w:right="-613"/>
        <w:rPr>
          <w:rFonts w:ascii="Acumin Pro" w:hAnsi="Acumin Pro"/>
          <w:b/>
          <w:bCs/>
          <w:color w:val="auto"/>
        </w:rPr>
      </w:pPr>
      <w:bookmarkStart w:id="7" w:name="_Toc93918921"/>
      <w:r>
        <w:rPr>
          <w:rFonts w:ascii="Acumin Pro" w:hAnsi="Acumin Pro"/>
          <w:b/>
          <w:bCs/>
          <w:color w:val="auto"/>
          <w:lang w:val="sr"/>
        </w:rPr>
        <w:t>ДИСКРИМИНАЦИЈА</w:t>
      </w:r>
      <w:bookmarkEnd w:id="7"/>
      <w:r>
        <w:rPr>
          <w:rFonts w:ascii="Acumin Pro" w:hAnsi="Acumin Pro"/>
          <w:color w:val="auto"/>
          <w:lang w:val="sr"/>
        </w:rPr>
        <w:t xml:space="preserve"> </w:t>
      </w:r>
    </w:p>
    <w:p w14:paraId="3F087509" w14:textId="77777777" w:rsidR="003100BE" w:rsidRDefault="003100BE" w:rsidP="00E60859">
      <w:pPr>
        <w:ind w:left="-426" w:right="-613"/>
      </w:pPr>
    </w:p>
    <w:p w14:paraId="427EABB7" w14:textId="77777777" w:rsidR="00BB5B13" w:rsidRPr="00BB5B13" w:rsidRDefault="003100BE" w:rsidP="00E60859">
      <w:pPr>
        <w:pStyle w:val="ListParagraph"/>
        <w:numPr>
          <w:ilvl w:val="0"/>
          <w:numId w:val="19"/>
        </w:numPr>
        <w:ind w:left="-426" w:right="-613"/>
        <w:jc w:val="both"/>
        <w:rPr>
          <w:rFonts w:ascii="Acumin Pro" w:hAnsi="Acumin Pro"/>
        </w:rPr>
      </w:pPr>
      <w:r>
        <w:rPr>
          <w:rFonts w:ascii="Acumin Pro" w:hAnsi="Acumin Pro"/>
          <w:lang w:val="sr"/>
        </w:rPr>
        <w:t>Србија је усвојила Закон о изменама и допунама Закона о забрани дискриминације</w:t>
      </w:r>
      <w:r>
        <w:rPr>
          <w:rStyle w:val="FootnoteReference"/>
          <w:rFonts w:ascii="Acumin Pro" w:hAnsi="Acumin Pro"/>
          <w:lang w:val="sr"/>
        </w:rPr>
        <w:footnoteReference w:id="21"/>
      </w:r>
      <w:r>
        <w:rPr>
          <w:rFonts w:ascii="Acumin Pro" w:hAnsi="Acumin Pro"/>
          <w:lang w:val="sr"/>
        </w:rPr>
        <w:t xml:space="preserve"> у мају 2021. Изменама је побољшан постојећи законодавни оквир и уведени су специфични облици дискриминације, као што су дискриминација у области становања (чл. 27а) и сегрегација (чл. 5). (4)) и измењена је дефиниција посредне дискриминације. Овим изменама је појашњена и процедура за именовање Повереника за заштиту равноправности. Што је најважније, Законом је прописано да законодавци и креатори политика имају социоекономску дужност приликом припреме и усвајања закона и јавних политика које могу утицати на рањиве и угрожене појединце. (чл. 14(4)). Међутим, од маја 2021. године није било идентификованих случајева спровођења социоекономске дужности, иако је припремљен и усвојен већи број релевантних јавних политика. У том периоду Србија је припремила следеће јавне политике: Стратегија за </w:t>
      </w:r>
      <w:r>
        <w:rPr>
          <w:rFonts w:ascii="Acumin Pro" w:hAnsi="Acumin Pro"/>
          <w:lang w:val="sr"/>
        </w:rPr>
        <w:lastRenderedPageBreak/>
        <w:t>борбу против дискриминације</w:t>
      </w:r>
      <w:r>
        <w:rPr>
          <w:rStyle w:val="FootnoteReference"/>
          <w:rFonts w:ascii="Acumin Pro" w:hAnsi="Acumin Pro"/>
          <w:lang w:val="sr"/>
        </w:rPr>
        <w:footnoteReference w:id="22"/>
      </w:r>
      <w:r>
        <w:rPr>
          <w:rFonts w:ascii="Acumin Pro" w:hAnsi="Acumin Pro"/>
          <w:lang w:val="sr"/>
        </w:rPr>
        <w:t>, Ревидирана Стратегија социјалног укључивања Рома и Ромкиња у Србији</w:t>
      </w:r>
      <w:r>
        <w:rPr>
          <w:rStyle w:val="FootnoteReference"/>
          <w:rFonts w:ascii="Acumin Pro" w:hAnsi="Acumin Pro"/>
          <w:lang w:val="sr"/>
        </w:rPr>
        <w:footnoteReference w:id="23"/>
      </w:r>
      <w:r>
        <w:rPr>
          <w:rFonts w:ascii="Acumin Pro" w:hAnsi="Acumin Pro"/>
          <w:lang w:val="sr"/>
        </w:rPr>
        <w:t xml:space="preserve"> и Национална стамбена политика.</w:t>
      </w:r>
      <w:r>
        <w:rPr>
          <w:rStyle w:val="FootnoteReference"/>
          <w:rFonts w:ascii="Acumin Pro" w:hAnsi="Acumin Pro"/>
          <w:lang w:val="sr"/>
        </w:rPr>
        <w:footnoteReference w:id="24"/>
      </w:r>
      <w:r>
        <w:rPr>
          <w:rFonts w:ascii="Acumin Pro" w:hAnsi="Acumin Pro"/>
          <w:lang w:val="sr"/>
        </w:rPr>
        <w:t xml:space="preserve"> Поред тога, у периоду од маја 2021. године донети су различити акти релевантни за остваривање економских и социјалних права – Закон о изменама и допунама Закона о финансијској подршци породици са децом, Закон о порезима на имовину, Закон о Заштитнику грађана, Закон о правима корисника услуга привременог смештаја у социјалној заштити, сет закона који регулишу образовање и др. </w:t>
      </w:r>
    </w:p>
    <w:p w14:paraId="108E7655" w14:textId="77777777" w:rsidR="005E55DB" w:rsidRPr="00A87E27" w:rsidRDefault="00BB5B13" w:rsidP="00E60859">
      <w:pPr>
        <w:pStyle w:val="ListParagraph"/>
        <w:numPr>
          <w:ilvl w:val="0"/>
          <w:numId w:val="19"/>
        </w:numPr>
        <w:ind w:left="-426" w:right="-613"/>
        <w:jc w:val="both"/>
        <w:rPr>
          <w:rFonts w:ascii="Acumin Pro" w:hAnsi="Acumin Pro"/>
        </w:rPr>
      </w:pPr>
      <w:r>
        <w:rPr>
          <w:rFonts w:ascii="Acumin Pro" w:hAnsi="Acumin Pro"/>
          <w:lang w:val="sr"/>
        </w:rPr>
        <w:t>Треба напоменути да у усвајању националних јавних политика релевантних за уживање економских, социјалних и културних права недостаје учешће погођених група, организација цивилног друштва и заинтересоване јавности. На пример, нацрт Националне стамбене стратегије је био на онлајн јавним консултацијама двадесет дана, усред сезоне годишњих одмора</w:t>
      </w:r>
      <w:r>
        <w:rPr>
          <w:rStyle w:val="FootnoteReference"/>
          <w:rFonts w:ascii="Acumin Pro" w:hAnsi="Acumin Pro"/>
          <w:lang w:val="sr"/>
        </w:rPr>
        <w:footnoteReference w:id="25"/>
      </w:r>
      <w:r>
        <w:rPr>
          <w:rFonts w:ascii="Acumin Pro" w:hAnsi="Acumin Pro"/>
          <w:lang w:val="sr"/>
        </w:rPr>
        <w:t>, Ромска национална стратегија је била на онлајн јавним консултацијама само седам дана</w:t>
      </w:r>
      <w:r>
        <w:rPr>
          <w:rStyle w:val="FootnoteReference"/>
          <w:rFonts w:ascii="Acumin Pro" w:hAnsi="Acumin Pro"/>
          <w:lang w:val="sr"/>
        </w:rPr>
        <w:footnoteReference w:id="26"/>
      </w:r>
      <w:r>
        <w:rPr>
          <w:rFonts w:ascii="Acumin Pro" w:hAnsi="Acumin Pro"/>
          <w:lang w:val="sr"/>
        </w:rPr>
        <w:t>, док су полазне основе Стратегије за борбу против дискриминације биле на јавним консултацијама између 26. октобра. и 1. новембра 2021.</w:t>
      </w:r>
      <w:r>
        <w:rPr>
          <w:rStyle w:val="FootnoteReference"/>
          <w:rFonts w:ascii="Acumin Pro" w:hAnsi="Acumin Pro"/>
          <w:lang w:val="sr"/>
        </w:rPr>
        <w:footnoteReference w:id="27"/>
      </w:r>
      <w:r>
        <w:rPr>
          <w:rFonts w:ascii="Acumin Pro" w:hAnsi="Acumin Pro"/>
          <w:lang w:val="sr"/>
        </w:rPr>
        <w:t xml:space="preserve"> </w:t>
      </w:r>
    </w:p>
    <w:p w14:paraId="445E4F1B" w14:textId="77777777" w:rsidR="00D34061" w:rsidRDefault="00D34061">
      <w:pPr>
        <w:rPr>
          <w:rFonts w:ascii="Neue Machina Ultrabold" w:eastAsiaTheme="majorEastAsia" w:hAnsi="Neue Machina Ultrabold" w:cstheme="majorBidi"/>
          <w:color w:val="FFFFFF" w:themeColor="background1"/>
          <w:sz w:val="32"/>
          <w:szCs w:val="32"/>
          <w:highlight w:val="red"/>
        </w:rPr>
      </w:pPr>
      <w:r>
        <w:rPr>
          <w:rFonts w:ascii="Neue Machina Ultrabold" w:hAnsi="Neue Machina Ultrabold"/>
          <w:color w:val="FFFFFF" w:themeColor="background1"/>
          <w:highlight w:val="red"/>
          <w:lang w:val="sr"/>
        </w:rPr>
        <w:br w:type="page"/>
      </w:r>
    </w:p>
    <w:p w14:paraId="710D896F" w14:textId="77777777" w:rsidR="00626257" w:rsidRPr="00626257" w:rsidRDefault="00626257" w:rsidP="00E60859">
      <w:pPr>
        <w:pStyle w:val="Heading1"/>
        <w:ind w:left="-426" w:right="-613"/>
        <w:rPr>
          <w:rFonts w:ascii="Neue Machina Ultrabold" w:hAnsi="Neue Machina Ultrabold"/>
          <w:color w:val="FFFFFF" w:themeColor="background1"/>
        </w:rPr>
      </w:pPr>
      <w:bookmarkStart w:id="8" w:name="_Toc93918922"/>
      <w:r>
        <w:rPr>
          <w:rFonts w:ascii="Neue Machina Ultrabold" w:hAnsi="Neue Machina Ultrabold"/>
          <w:color w:val="FFFFFF" w:themeColor="background1"/>
          <w:highlight w:val="red"/>
          <w:lang w:val="sr"/>
        </w:rPr>
        <w:lastRenderedPageBreak/>
        <w:t>ПИТАЊА КОЈА СЕ ОДНОСЕ НА ПОСЕБНЕ ОДРЕДБЕ ПАКТА (ЧЛАНОВИ 6–15)</w:t>
      </w:r>
      <w:bookmarkEnd w:id="8"/>
      <w:r>
        <w:rPr>
          <w:rFonts w:ascii="Neue Machina Ultrabold" w:hAnsi="Neue Machina Ultrabold"/>
          <w:color w:val="FFFFFF" w:themeColor="background1"/>
          <w:highlight w:val="red"/>
          <w:lang w:val="sr"/>
        </w:rPr>
        <w:t xml:space="preserve"> </w:t>
      </w:r>
    </w:p>
    <w:p w14:paraId="2F5E643B" w14:textId="77777777" w:rsidR="00626257" w:rsidRDefault="00626257" w:rsidP="00E60859">
      <w:pPr>
        <w:pStyle w:val="NoSpacing"/>
        <w:ind w:left="-426" w:right="-613"/>
        <w:jc w:val="both"/>
        <w:rPr>
          <w:rFonts w:ascii="Acumin Pro" w:hAnsi="Acumin Pro" w:cstheme="minorHAnsi"/>
          <w:color w:val="000000"/>
        </w:rPr>
      </w:pPr>
    </w:p>
    <w:p w14:paraId="5337FD7B" w14:textId="77777777" w:rsidR="00A166DB" w:rsidRDefault="00A166DB" w:rsidP="00E60859">
      <w:pPr>
        <w:pStyle w:val="Heading2"/>
        <w:ind w:left="-426" w:right="-613"/>
        <w:rPr>
          <w:rFonts w:ascii="Acumin Pro" w:hAnsi="Acumin Pro"/>
          <w:b/>
          <w:bCs/>
          <w:color w:val="auto"/>
        </w:rPr>
      </w:pPr>
      <w:bookmarkStart w:id="9" w:name="_Toc93918923"/>
      <w:r>
        <w:rPr>
          <w:rFonts w:ascii="Acumin Pro" w:hAnsi="Acumin Pro"/>
          <w:b/>
          <w:bCs/>
          <w:color w:val="auto"/>
          <w:lang w:val="sr"/>
        </w:rPr>
        <w:t>ЧЛАН 6 – ПРАВО НА РАД</w:t>
      </w:r>
      <w:bookmarkEnd w:id="9"/>
      <w:r>
        <w:rPr>
          <w:rFonts w:ascii="Acumin Pro" w:hAnsi="Acumin Pro"/>
          <w:color w:val="auto"/>
          <w:lang w:val="sr"/>
        </w:rPr>
        <w:t xml:space="preserve"> </w:t>
      </w:r>
    </w:p>
    <w:p w14:paraId="26042D8E" w14:textId="77777777" w:rsidR="00A166DB" w:rsidRPr="00A166DB" w:rsidRDefault="00A166DB" w:rsidP="00E60859">
      <w:pPr>
        <w:ind w:left="-426" w:right="-613"/>
      </w:pPr>
    </w:p>
    <w:p w14:paraId="09545A36" w14:textId="77777777" w:rsidR="00D12406" w:rsidRPr="00466497" w:rsidRDefault="00A166DB" w:rsidP="00E60859">
      <w:pPr>
        <w:pStyle w:val="Heading3"/>
        <w:ind w:left="-426" w:right="-613"/>
        <w:rPr>
          <w:rFonts w:ascii="Acumin Pro" w:hAnsi="Acumin Pro"/>
          <w:b/>
          <w:bCs/>
          <w:color w:val="auto"/>
        </w:rPr>
      </w:pPr>
      <w:bookmarkStart w:id="10" w:name="_Toc93918924"/>
      <w:r>
        <w:rPr>
          <w:rFonts w:ascii="Acumin Pro" w:hAnsi="Acumin Pro"/>
          <w:b/>
          <w:bCs/>
          <w:color w:val="auto"/>
          <w:lang w:val="sr"/>
        </w:rPr>
        <w:t>Недостатак заштитних механизама за жртве радне експлоатације – случај 400 вијетнамских радника ангажованих на изградњи фабрике гума „Линглонг”</w:t>
      </w:r>
      <w:bookmarkEnd w:id="10"/>
      <w:r>
        <w:rPr>
          <w:rFonts w:ascii="Acumin Pro" w:hAnsi="Acumin Pro"/>
          <w:color w:val="auto"/>
          <w:lang w:val="sr"/>
        </w:rPr>
        <w:t xml:space="preserve"> </w:t>
      </w:r>
    </w:p>
    <w:p w14:paraId="041570E2" w14:textId="77777777" w:rsidR="00862E6F" w:rsidRDefault="009B5D8B" w:rsidP="00E60859">
      <w:pPr>
        <w:pStyle w:val="NormalWeb"/>
        <w:numPr>
          <w:ilvl w:val="0"/>
          <w:numId w:val="19"/>
        </w:numPr>
        <w:spacing w:before="0" w:beforeAutospacing="0" w:after="0" w:afterAutospacing="0"/>
        <w:ind w:left="-426" w:right="-613"/>
        <w:jc w:val="both"/>
        <w:rPr>
          <w:rFonts w:ascii="Acumin Pro" w:hAnsi="Acumin Pro" w:cs="Arial"/>
          <w:color w:val="000000"/>
          <w:sz w:val="22"/>
          <w:szCs w:val="22"/>
        </w:rPr>
      </w:pPr>
      <w:r>
        <w:rPr>
          <w:rFonts w:ascii="Acumin Pro" w:hAnsi="Acumin Pro" w:cs="Arial"/>
          <w:color w:val="000000"/>
          <w:sz w:val="22"/>
          <w:szCs w:val="22"/>
          <w:lang w:val="sr"/>
        </w:rPr>
        <w:t>У новембру 2021. године јавност је добила информацију о најмање 400 вијетнамских радника потенцијалних жртава трговине људима у циљу радне експлоатације.</w:t>
      </w:r>
      <w:r>
        <w:rPr>
          <w:rStyle w:val="FootnoteReference"/>
          <w:rFonts w:ascii="Acumin Pro" w:hAnsi="Acumin Pro" w:cs="Arial"/>
          <w:color w:val="000000"/>
          <w:sz w:val="22"/>
          <w:szCs w:val="22"/>
          <w:lang w:val="sr"/>
        </w:rPr>
        <w:footnoteReference w:id="28"/>
      </w:r>
      <w:r>
        <w:rPr>
          <w:rFonts w:ascii="Acumin Pro" w:hAnsi="Acumin Pro" w:cs="Arial"/>
          <w:color w:val="000000"/>
          <w:sz w:val="22"/>
          <w:szCs w:val="22"/>
          <w:lang w:val="sr"/>
        </w:rPr>
        <w:t xml:space="preserve"> Одмах након што су медији пренели овај случај, представници А 11 – Иницијативе за економска и социјална права и АСТРА – Акције против трговине људима посетили су раднике како би испитали њихов положај и евентуалне проблеме у вези са њиховим радним статусом.</w:t>
      </w:r>
      <w:r>
        <w:rPr>
          <w:rStyle w:val="FootnoteReference"/>
          <w:rFonts w:ascii="Acumin Pro" w:hAnsi="Acumin Pro" w:cs="Arial"/>
          <w:color w:val="000000"/>
          <w:sz w:val="22"/>
          <w:szCs w:val="22"/>
          <w:lang w:val="sr"/>
        </w:rPr>
        <w:footnoteReference w:id="29"/>
      </w:r>
      <w:r>
        <w:rPr>
          <w:rFonts w:ascii="Acumin Pro" w:hAnsi="Acumin Pro" w:cs="Arial"/>
          <w:color w:val="000000"/>
          <w:sz w:val="22"/>
          <w:szCs w:val="22"/>
          <w:lang w:val="sr"/>
        </w:rPr>
        <w:t xml:space="preserve"> </w:t>
      </w:r>
    </w:p>
    <w:p w14:paraId="45984878" w14:textId="54DF7C0F" w:rsidR="00862E6F" w:rsidRDefault="00651232" w:rsidP="00E60859">
      <w:pPr>
        <w:pStyle w:val="NormalWeb"/>
        <w:numPr>
          <w:ilvl w:val="0"/>
          <w:numId w:val="19"/>
        </w:numPr>
        <w:spacing w:before="0" w:beforeAutospacing="0" w:after="0" w:afterAutospacing="0"/>
        <w:ind w:left="-426" w:right="-613"/>
        <w:jc w:val="both"/>
        <w:rPr>
          <w:rFonts w:ascii="Acumin Pro" w:hAnsi="Acumin Pro" w:cs="Arial"/>
          <w:color w:val="000000"/>
          <w:sz w:val="22"/>
          <w:szCs w:val="22"/>
        </w:rPr>
      </w:pPr>
      <w:r>
        <w:rPr>
          <w:rFonts w:ascii="Acumin Pro" w:hAnsi="Acumin Pro" w:cs="Arial"/>
          <w:color w:val="000000"/>
          <w:sz w:val="22"/>
          <w:szCs w:val="22"/>
          <w:lang w:val="sr"/>
        </w:rPr>
        <w:t xml:space="preserve">У тренутку интервјуисања, нико од радника није имао пасош са собом; пасоши су „чувани” у компанији која их је запослила – </w:t>
      </w:r>
      <w:r>
        <w:rPr>
          <w:rFonts w:ascii="Acumin Pro" w:hAnsi="Acumin Pro" w:cs="Arial"/>
          <w:i/>
          <w:iCs/>
          <w:color w:val="000000"/>
          <w:sz w:val="22"/>
          <w:szCs w:val="22"/>
          <w:lang w:val="sr"/>
        </w:rPr>
        <w:t>Linglong International Europe</w:t>
      </w:r>
      <w:r>
        <w:rPr>
          <w:rFonts w:ascii="Acumin Pro" w:hAnsi="Acumin Pro" w:cs="Arial"/>
          <w:color w:val="000000"/>
          <w:sz w:val="22"/>
          <w:szCs w:val="22"/>
          <w:lang w:val="sr"/>
        </w:rPr>
        <w:t>, доо.</w:t>
      </w:r>
      <w:r>
        <w:rPr>
          <w:rStyle w:val="FootnoteReference"/>
          <w:rFonts w:ascii="Acumin Pro" w:hAnsi="Acumin Pro" w:cs="Arial"/>
          <w:color w:val="000000"/>
          <w:sz w:val="22"/>
          <w:szCs w:val="22"/>
          <w:lang w:val="sr"/>
        </w:rPr>
        <w:footnoteReference w:id="30"/>
      </w:r>
      <w:r w:rsidR="0094045C">
        <w:rPr>
          <w:rFonts w:ascii="Acumin Pro" w:hAnsi="Acumin Pro" w:cs="Arial"/>
          <w:color w:val="000000"/>
          <w:sz w:val="22"/>
          <w:szCs w:val="22"/>
          <w:lang w:val="sr"/>
        </w:rPr>
        <w:t xml:space="preserve"> </w:t>
      </w:r>
      <w:r>
        <w:rPr>
          <w:rFonts w:ascii="Acumin Pro" w:hAnsi="Acumin Pro" w:cs="Arial"/>
          <w:color w:val="000000"/>
          <w:sz w:val="22"/>
          <w:szCs w:val="22"/>
          <w:lang w:val="sr"/>
        </w:rPr>
        <w:t xml:space="preserve">Ови радници су ангажовани, преко подизвођача компаније </w:t>
      </w:r>
      <w:r>
        <w:rPr>
          <w:rFonts w:ascii="Acumin Pro" w:hAnsi="Acumin Pro" w:cs="Arial"/>
          <w:i/>
          <w:iCs/>
          <w:color w:val="000000"/>
          <w:sz w:val="22"/>
          <w:szCs w:val="22"/>
          <w:lang w:val="sr"/>
        </w:rPr>
        <w:t>Linglong International Europe</w:t>
      </w:r>
      <w:r>
        <w:rPr>
          <w:rFonts w:ascii="Acumin Pro" w:hAnsi="Acumin Pro" w:cs="Arial"/>
          <w:color w:val="000000"/>
          <w:sz w:val="22"/>
          <w:szCs w:val="22"/>
          <w:lang w:val="sr"/>
        </w:rPr>
        <w:t xml:space="preserve"> доо., на изградњи фабрике гума у​Зрењанину, Србија, и морали су да плате 2000 – 4000 </w:t>
      </w:r>
      <w:r w:rsidR="0069213C">
        <w:rPr>
          <w:rFonts w:ascii="Calibri" w:hAnsi="Calibri" w:cs="Calibri"/>
          <w:color w:val="000000"/>
          <w:sz w:val="22"/>
          <w:szCs w:val="22"/>
          <w:lang w:val="sr-Cyrl-RS"/>
        </w:rPr>
        <w:t>америчких долара</w:t>
      </w:r>
      <w:r w:rsidR="0069213C">
        <w:rPr>
          <w:rFonts w:ascii="Acumin Pro" w:hAnsi="Acumin Pro" w:cs="Arial"/>
          <w:color w:val="000000"/>
          <w:sz w:val="22"/>
          <w:szCs w:val="22"/>
          <w:lang w:val="sr"/>
        </w:rPr>
        <w:t xml:space="preserve"> </w:t>
      </w:r>
      <w:r>
        <w:rPr>
          <w:rFonts w:ascii="Acumin Pro" w:hAnsi="Acumin Pro" w:cs="Arial"/>
          <w:color w:val="000000"/>
          <w:sz w:val="22"/>
          <w:szCs w:val="22"/>
          <w:lang w:val="sr"/>
        </w:rPr>
        <w:t>агенцијама за запошљавање у Вијетнаму да би се запослили у Србији. Њихов рад се одвија у сменама од 9 сати, са једном паузом за ручак у трајању од сат времена, 26 дана у месецу, што је противно стандардима Закона о раду у Србији. Послодавац им није обезбедио личну заштитну опрему, а трошкове ове опреме им је одбијао од зарада. Њихови уговори предвиђају да не смеју да се баве синдикалним активностима, а да у случају отказа уговора због своје одговорности, сами морају да плате карте за повратак кући.</w:t>
      </w:r>
      <w:r>
        <w:rPr>
          <w:rStyle w:val="FootnoteReference"/>
          <w:rFonts w:ascii="Acumin Pro" w:hAnsi="Acumin Pro" w:cs="Arial"/>
          <w:color w:val="000000"/>
          <w:sz w:val="22"/>
          <w:szCs w:val="22"/>
          <w:lang w:val="sr"/>
        </w:rPr>
        <w:footnoteReference w:id="31"/>
      </w:r>
      <w:r w:rsidR="0094045C">
        <w:rPr>
          <w:rFonts w:ascii="Acumin Pro" w:hAnsi="Acumin Pro" w:cs="Arial"/>
          <w:color w:val="000000"/>
          <w:sz w:val="22"/>
          <w:szCs w:val="22"/>
          <w:lang w:val="sr"/>
        </w:rPr>
        <w:t xml:space="preserve"> </w:t>
      </w:r>
      <w:r>
        <w:rPr>
          <w:rFonts w:ascii="Acumin Pro" w:hAnsi="Acumin Pro" w:cs="Arial"/>
          <w:color w:val="000000"/>
          <w:sz w:val="22"/>
          <w:szCs w:val="22"/>
          <w:lang w:val="sr"/>
        </w:rPr>
        <w:t>Такође, у случају да напусте послодавца, њихови рођаци и/или пријатељи су дужни да плате то бекство.</w:t>
      </w:r>
      <w:r>
        <w:rPr>
          <w:rStyle w:val="FootnoteReference"/>
          <w:rFonts w:ascii="Acumin Pro" w:hAnsi="Acumin Pro" w:cs="Arial"/>
          <w:color w:val="000000"/>
          <w:sz w:val="22"/>
          <w:szCs w:val="22"/>
          <w:lang w:val="sr"/>
        </w:rPr>
        <w:footnoteReference w:id="32"/>
      </w:r>
    </w:p>
    <w:p w14:paraId="7E211089" w14:textId="12972BE5" w:rsidR="00862E6F" w:rsidRDefault="00D12406" w:rsidP="00E60859">
      <w:pPr>
        <w:pStyle w:val="NormalWeb"/>
        <w:numPr>
          <w:ilvl w:val="0"/>
          <w:numId w:val="19"/>
        </w:numPr>
        <w:spacing w:before="0" w:beforeAutospacing="0" w:after="0" w:afterAutospacing="0"/>
        <w:ind w:left="-426" w:right="-613"/>
        <w:jc w:val="both"/>
        <w:rPr>
          <w:rFonts w:ascii="Acumin Pro" w:hAnsi="Acumin Pro" w:cs="Arial"/>
          <w:color w:val="000000"/>
          <w:sz w:val="22"/>
          <w:szCs w:val="22"/>
        </w:rPr>
      </w:pPr>
      <w:r>
        <w:rPr>
          <w:rFonts w:ascii="Acumin Pro" w:hAnsi="Acumin Pro" w:cs="Arial"/>
          <w:color w:val="000000"/>
          <w:sz w:val="22"/>
          <w:szCs w:val="22"/>
          <w:lang w:val="sr"/>
        </w:rPr>
        <w:t xml:space="preserve">Камп у коме су били смештени није имао грејање, имао је кревете на спрат у претрпаним просторијама, без довољно вентилације и природног светла. Радници су такође имали само два тоалета, без безбедног и </w:t>
      </w:r>
      <w:r w:rsidR="0069213C">
        <w:rPr>
          <w:rFonts w:ascii="Calibri" w:hAnsi="Calibri" w:cs="Calibri"/>
          <w:color w:val="000000"/>
          <w:sz w:val="22"/>
          <w:szCs w:val="22"/>
          <w:lang w:val="sr-Cyrl-RS"/>
        </w:rPr>
        <w:t>довољног броја</w:t>
      </w:r>
      <w:r w:rsidR="0069213C">
        <w:rPr>
          <w:rFonts w:ascii="Acumin Pro" w:hAnsi="Acumin Pro" w:cs="Arial"/>
          <w:color w:val="000000"/>
          <w:sz w:val="22"/>
          <w:szCs w:val="22"/>
          <w:lang w:val="sr"/>
        </w:rPr>
        <w:t xml:space="preserve"> </w:t>
      </w:r>
      <w:r>
        <w:rPr>
          <w:rFonts w:ascii="Acumin Pro" w:hAnsi="Acumin Pro" w:cs="Arial"/>
          <w:color w:val="000000"/>
          <w:sz w:val="22"/>
          <w:szCs w:val="22"/>
          <w:lang w:val="sr"/>
        </w:rPr>
        <w:t xml:space="preserve">утикача за струју и без безбедне воде за пиће. Поред тога, постојала су само 2 бојлера (по 120 литара), за више од 400 радника. Такође, њихов смештај није имао трпезарију или било који други </w:t>
      </w:r>
      <w:r w:rsidR="0069213C">
        <w:rPr>
          <w:rFonts w:ascii="Calibri" w:hAnsi="Calibri" w:cs="Calibri"/>
          <w:color w:val="000000"/>
          <w:sz w:val="22"/>
          <w:szCs w:val="22"/>
          <w:lang w:val="sr-Cyrl-RS"/>
        </w:rPr>
        <w:t>садрђај за провођење</w:t>
      </w:r>
      <w:r>
        <w:rPr>
          <w:rFonts w:ascii="Acumin Pro" w:hAnsi="Acumin Pro" w:cs="Arial"/>
          <w:color w:val="000000"/>
          <w:sz w:val="22"/>
          <w:szCs w:val="22"/>
          <w:lang w:val="sr"/>
        </w:rPr>
        <w:t xml:space="preserve"> слободно</w:t>
      </w:r>
      <w:r w:rsidR="0069213C">
        <w:rPr>
          <w:rFonts w:ascii="Calibri" w:hAnsi="Calibri" w:cs="Calibri"/>
          <w:color w:val="000000"/>
          <w:sz w:val="22"/>
          <w:szCs w:val="22"/>
          <w:lang w:val="sr-Cyrl-RS"/>
        </w:rPr>
        <w:t>г</w:t>
      </w:r>
      <w:r>
        <w:rPr>
          <w:rFonts w:ascii="Acumin Pro" w:hAnsi="Acumin Pro" w:cs="Arial"/>
          <w:color w:val="000000"/>
          <w:sz w:val="22"/>
          <w:szCs w:val="22"/>
          <w:lang w:val="sr"/>
        </w:rPr>
        <w:t xml:space="preserve"> време</w:t>
      </w:r>
      <w:r w:rsidR="0069213C">
        <w:rPr>
          <w:rFonts w:ascii="Calibri" w:hAnsi="Calibri" w:cs="Calibri"/>
          <w:color w:val="000000"/>
          <w:sz w:val="22"/>
          <w:szCs w:val="22"/>
          <w:lang w:val="sr-Cyrl-RS"/>
        </w:rPr>
        <w:t>на</w:t>
      </w:r>
      <w:r>
        <w:rPr>
          <w:rFonts w:ascii="Acumin Pro" w:hAnsi="Acumin Pro" w:cs="Arial"/>
          <w:color w:val="000000"/>
          <w:sz w:val="22"/>
          <w:szCs w:val="22"/>
          <w:lang w:val="sr"/>
        </w:rPr>
        <w:t xml:space="preserve">. Радници су морали да перу веш ручно, пошто није било машина за прање веша. Такође, нису редовно примали плате, није било приступа здравственој заштити или мерама превенције КОВИДА-19. </w:t>
      </w:r>
    </w:p>
    <w:p w14:paraId="55845C04" w14:textId="77777777" w:rsidR="00862E6F" w:rsidRPr="00C479D3" w:rsidRDefault="001A4A1D" w:rsidP="00E60859">
      <w:pPr>
        <w:pStyle w:val="NormalWeb"/>
        <w:numPr>
          <w:ilvl w:val="0"/>
          <w:numId w:val="19"/>
        </w:numPr>
        <w:spacing w:before="0" w:beforeAutospacing="0" w:after="0" w:afterAutospacing="0"/>
        <w:ind w:left="-426" w:right="-613"/>
        <w:jc w:val="both"/>
        <w:rPr>
          <w:rFonts w:ascii="Acumin Pro" w:hAnsi="Acumin Pro" w:cs="Arial"/>
          <w:sz w:val="22"/>
          <w:szCs w:val="22"/>
        </w:rPr>
      </w:pPr>
      <w:r w:rsidRPr="00C479D3">
        <w:rPr>
          <w:rFonts w:ascii="Acumin Pro" w:hAnsi="Acumin Pro" w:hint="eastAsia"/>
          <w:sz w:val="22"/>
          <w:szCs w:val="22"/>
          <w:lang w:val="sr"/>
        </w:rPr>
        <w:t>Наведене</w:t>
      </w:r>
      <w:r w:rsidRPr="00C479D3">
        <w:rPr>
          <w:rFonts w:ascii="Acumin Pro" w:hAnsi="Acumin Pro"/>
          <w:sz w:val="22"/>
          <w:szCs w:val="22"/>
          <w:lang w:val="sr"/>
        </w:rPr>
        <w:t xml:space="preserve"> </w:t>
      </w:r>
      <w:r w:rsidRPr="00C479D3">
        <w:rPr>
          <w:rFonts w:ascii="Acumin Pro" w:hAnsi="Acumin Pro" w:hint="eastAsia"/>
          <w:sz w:val="22"/>
          <w:szCs w:val="22"/>
          <w:lang w:val="sr"/>
        </w:rPr>
        <w:t>организације</w:t>
      </w:r>
      <w:r w:rsidRPr="00C479D3">
        <w:rPr>
          <w:rFonts w:ascii="Acumin Pro" w:hAnsi="Acumin Pro"/>
          <w:sz w:val="22"/>
          <w:szCs w:val="22"/>
          <w:lang w:val="sr"/>
        </w:rPr>
        <w:t xml:space="preserve"> </w:t>
      </w:r>
      <w:r w:rsidRPr="00C479D3">
        <w:rPr>
          <w:rFonts w:ascii="Acumin Pro" w:hAnsi="Acumin Pro" w:hint="eastAsia"/>
          <w:sz w:val="22"/>
          <w:szCs w:val="22"/>
          <w:lang w:val="sr"/>
        </w:rPr>
        <w:t>су</w:t>
      </w:r>
      <w:r w:rsidRPr="00C479D3">
        <w:rPr>
          <w:rFonts w:ascii="Acumin Pro" w:hAnsi="Acumin Pro"/>
          <w:sz w:val="22"/>
          <w:szCs w:val="22"/>
          <w:lang w:val="sr"/>
        </w:rPr>
        <w:t xml:space="preserve"> 17. </w:t>
      </w:r>
      <w:r w:rsidRPr="00C479D3">
        <w:rPr>
          <w:rFonts w:ascii="Acumin Pro" w:hAnsi="Acumin Pro" w:hint="eastAsia"/>
          <w:sz w:val="22"/>
          <w:szCs w:val="22"/>
          <w:lang w:val="sr"/>
        </w:rPr>
        <w:t>новембра</w:t>
      </w:r>
      <w:r w:rsidRPr="00C479D3">
        <w:rPr>
          <w:rFonts w:ascii="Acumin Pro" w:hAnsi="Acumin Pro"/>
          <w:sz w:val="22"/>
          <w:szCs w:val="22"/>
          <w:lang w:val="sr"/>
        </w:rPr>
        <w:t xml:space="preserve"> </w:t>
      </w:r>
      <w:r w:rsidRPr="00C479D3">
        <w:rPr>
          <w:rFonts w:ascii="Acumin Pro" w:hAnsi="Acumin Pro" w:hint="eastAsia"/>
          <w:sz w:val="22"/>
          <w:szCs w:val="22"/>
          <w:lang w:val="sr"/>
        </w:rPr>
        <w:t>упутиле</w:t>
      </w:r>
      <w:r w:rsidRPr="00C479D3">
        <w:rPr>
          <w:rFonts w:ascii="Acumin Pro" w:hAnsi="Acumin Pro"/>
          <w:sz w:val="22"/>
          <w:szCs w:val="22"/>
          <w:lang w:val="sr"/>
        </w:rPr>
        <w:t xml:space="preserve"> </w:t>
      </w:r>
      <w:r w:rsidRPr="00C479D3">
        <w:rPr>
          <w:rFonts w:ascii="Acumin Pro" w:hAnsi="Acumin Pro" w:hint="eastAsia"/>
          <w:sz w:val="22"/>
          <w:szCs w:val="22"/>
          <w:lang w:val="sr"/>
        </w:rPr>
        <w:t>званичан</w:t>
      </w:r>
      <w:r w:rsidRPr="00C479D3">
        <w:rPr>
          <w:rFonts w:ascii="Acumin Pro" w:hAnsi="Acumin Pro"/>
          <w:sz w:val="22"/>
          <w:szCs w:val="22"/>
          <w:lang w:val="sr"/>
        </w:rPr>
        <w:t xml:space="preserve"> </w:t>
      </w:r>
      <w:r w:rsidRPr="00C479D3">
        <w:rPr>
          <w:rFonts w:ascii="Acumin Pro" w:hAnsi="Acumin Pro" w:hint="eastAsia"/>
          <w:sz w:val="22"/>
          <w:szCs w:val="22"/>
          <w:lang w:val="sr"/>
        </w:rPr>
        <w:t>допис</w:t>
      </w:r>
      <w:r w:rsidRPr="00C479D3">
        <w:rPr>
          <w:rFonts w:ascii="Acumin Pro" w:hAnsi="Acumin Pro"/>
          <w:sz w:val="22"/>
          <w:szCs w:val="22"/>
          <w:lang w:val="sr"/>
        </w:rPr>
        <w:t xml:space="preserve"> </w:t>
      </w:r>
      <w:r w:rsidRPr="00C479D3">
        <w:rPr>
          <w:rFonts w:ascii="Acumin Pro" w:hAnsi="Acumin Pro" w:hint="eastAsia"/>
          <w:sz w:val="22"/>
          <w:szCs w:val="22"/>
          <w:lang w:val="sr"/>
        </w:rPr>
        <w:t>и</w:t>
      </w:r>
      <w:r w:rsidRPr="00C479D3">
        <w:rPr>
          <w:rFonts w:ascii="Acumin Pro" w:hAnsi="Acumin Pro"/>
          <w:sz w:val="22"/>
          <w:szCs w:val="22"/>
          <w:lang w:val="sr"/>
        </w:rPr>
        <w:t xml:space="preserve"> </w:t>
      </w:r>
      <w:r w:rsidRPr="00C479D3">
        <w:rPr>
          <w:rFonts w:ascii="Acumin Pro" w:hAnsi="Acumin Pro" w:hint="eastAsia"/>
          <w:sz w:val="22"/>
          <w:szCs w:val="22"/>
          <w:lang w:val="sr"/>
        </w:rPr>
        <w:t>извештај</w:t>
      </w:r>
      <w:r w:rsidRPr="00C479D3">
        <w:rPr>
          <w:rFonts w:ascii="Acumin Pro" w:hAnsi="Acumin Pro"/>
          <w:sz w:val="22"/>
          <w:szCs w:val="22"/>
          <w:lang w:val="sr"/>
        </w:rPr>
        <w:t xml:space="preserve"> </w:t>
      </w:r>
      <w:r w:rsidRPr="00C479D3">
        <w:rPr>
          <w:rFonts w:ascii="Acumin Pro" w:hAnsi="Acumin Pro" w:hint="eastAsia"/>
          <w:sz w:val="22"/>
          <w:szCs w:val="22"/>
          <w:lang w:val="sr"/>
        </w:rPr>
        <w:t>о</w:t>
      </w:r>
      <w:r w:rsidRPr="00C479D3">
        <w:rPr>
          <w:rFonts w:ascii="Acumin Pro" w:hAnsi="Acumin Pro"/>
          <w:sz w:val="22"/>
          <w:szCs w:val="22"/>
          <w:lang w:val="sr"/>
        </w:rPr>
        <w:t xml:space="preserve"> </w:t>
      </w:r>
      <w:r w:rsidRPr="00C479D3">
        <w:rPr>
          <w:rFonts w:ascii="Acumin Pro" w:hAnsi="Acumin Pro" w:hint="eastAsia"/>
          <w:sz w:val="22"/>
          <w:szCs w:val="22"/>
          <w:lang w:val="sr"/>
        </w:rPr>
        <w:t>положају</w:t>
      </w:r>
      <w:r w:rsidRPr="00C479D3">
        <w:rPr>
          <w:rFonts w:ascii="Acumin Pro" w:hAnsi="Acumin Pro"/>
          <w:sz w:val="22"/>
          <w:szCs w:val="22"/>
          <w:lang w:val="sr"/>
        </w:rPr>
        <w:t xml:space="preserve"> </w:t>
      </w:r>
      <w:r w:rsidRPr="00C479D3">
        <w:rPr>
          <w:rFonts w:ascii="Acumin Pro" w:hAnsi="Acumin Pro" w:hint="eastAsia"/>
          <w:sz w:val="22"/>
          <w:szCs w:val="22"/>
          <w:lang w:val="sr"/>
        </w:rPr>
        <w:t>вијетнамских</w:t>
      </w:r>
      <w:r w:rsidRPr="00C479D3">
        <w:rPr>
          <w:rFonts w:ascii="Acumin Pro" w:hAnsi="Acumin Pro"/>
          <w:sz w:val="22"/>
          <w:szCs w:val="22"/>
          <w:lang w:val="sr"/>
        </w:rPr>
        <w:t xml:space="preserve"> </w:t>
      </w:r>
      <w:r w:rsidRPr="00C479D3">
        <w:rPr>
          <w:rFonts w:ascii="Acumin Pro" w:hAnsi="Acumin Pro" w:hint="eastAsia"/>
          <w:sz w:val="22"/>
          <w:szCs w:val="22"/>
          <w:lang w:val="sr"/>
        </w:rPr>
        <w:t>радника</w:t>
      </w:r>
      <w:r w:rsidRPr="00C479D3">
        <w:rPr>
          <w:rFonts w:ascii="Acumin Pro" w:hAnsi="Acumin Pro"/>
          <w:sz w:val="22"/>
          <w:szCs w:val="22"/>
          <w:lang w:val="sr"/>
        </w:rPr>
        <w:t xml:space="preserve">, </w:t>
      </w:r>
      <w:r w:rsidRPr="00C479D3">
        <w:rPr>
          <w:rFonts w:ascii="Acumin Pro" w:hAnsi="Acumin Pro" w:hint="eastAsia"/>
          <w:sz w:val="22"/>
          <w:szCs w:val="22"/>
          <w:lang w:val="sr"/>
        </w:rPr>
        <w:t>потенцијалних</w:t>
      </w:r>
      <w:r w:rsidRPr="00C479D3">
        <w:rPr>
          <w:rFonts w:ascii="Acumin Pro" w:hAnsi="Acumin Pro"/>
          <w:sz w:val="22"/>
          <w:szCs w:val="22"/>
          <w:lang w:val="sr"/>
        </w:rPr>
        <w:t xml:space="preserve"> </w:t>
      </w:r>
      <w:r w:rsidRPr="00C479D3">
        <w:rPr>
          <w:rFonts w:ascii="Acumin Pro" w:hAnsi="Acumin Pro" w:hint="eastAsia"/>
          <w:sz w:val="22"/>
          <w:szCs w:val="22"/>
          <w:lang w:val="sr"/>
        </w:rPr>
        <w:t>жртава</w:t>
      </w:r>
      <w:r w:rsidRPr="00C479D3">
        <w:rPr>
          <w:rFonts w:ascii="Acumin Pro" w:hAnsi="Acumin Pro"/>
          <w:sz w:val="22"/>
          <w:szCs w:val="22"/>
          <w:lang w:val="sr"/>
        </w:rPr>
        <w:t xml:space="preserve"> </w:t>
      </w:r>
      <w:r w:rsidRPr="00C479D3">
        <w:rPr>
          <w:rFonts w:ascii="Acumin Pro" w:hAnsi="Acumin Pro" w:hint="eastAsia"/>
          <w:sz w:val="22"/>
          <w:szCs w:val="22"/>
          <w:lang w:val="sr"/>
        </w:rPr>
        <w:t>трговине</w:t>
      </w:r>
      <w:r w:rsidRPr="00C479D3">
        <w:rPr>
          <w:rFonts w:ascii="Acumin Pro" w:hAnsi="Acumin Pro"/>
          <w:sz w:val="22"/>
          <w:szCs w:val="22"/>
          <w:lang w:val="sr"/>
        </w:rPr>
        <w:t xml:space="preserve"> </w:t>
      </w:r>
      <w:r w:rsidRPr="00C479D3">
        <w:rPr>
          <w:rFonts w:ascii="Acumin Pro" w:hAnsi="Acumin Pro" w:hint="eastAsia"/>
          <w:sz w:val="22"/>
          <w:szCs w:val="22"/>
          <w:lang w:val="sr"/>
        </w:rPr>
        <w:t>људима</w:t>
      </w:r>
      <w:r w:rsidRPr="00C479D3">
        <w:rPr>
          <w:rFonts w:ascii="Acumin Pro" w:hAnsi="Acumin Pro"/>
          <w:sz w:val="22"/>
          <w:szCs w:val="22"/>
          <w:lang w:val="sr"/>
        </w:rPr>
        <w:t xml:space="preserve"> </w:t>
      </w:r>
      <w:r w:rsidRPr="00C479D3">
        <w:rPr>
          <w:rFonts w:ascii="Acumin Pro" w:hAnsi="Acumin Pro" w:hint="eastAsia"/>
          <w:sz w:val="22"/>
          <w:szCs w:val="22"/>
          <w:lang w:val="sr"/>
        </w:rPr>
        <w:t>у</w:t>
      </w:r>
      <w:r w:rsidRPr="00C479D3">
        <w:rPr>
          <w:rFonts w:ascii="Acumin Pro" w:hAnsi="Acumin Pro"/>
          <w:sz w:val="22"/>
          <w:szCs w:val="22"/>
          <w:lang w:val="sr"/>
        </w:rPr>
        <w:t xml:space="preserve"> </w:t>
      </w:r>
      <w:r w:rsidRPr="00C479D3">
        <w:rPr>
          <w:rFonts w:ascii="Acumin Pro" w:hAnsi="Acumin Pro" w:hint="eastAsia"/>
          <w:sz w:val="22"/>
          <w:szCs w:val="22"/>
          <w:lang w:val="sr"/>
        </w:rPr>
        <w:t>сврху</w:t>
      </w:r>
      <w:r w:rsidRPr="00C479D3">
        <w:rPr>
          <w:rFonts w:ascii="Acumin Pro" w:hAnsi="Acumin Pro"/>
          <w:sz w:val="22"/>
          <w:szCs w:val="22"/>
          <w:lang w:val="sr"/>
        </w:rPr>
        <w:t xml:space="preserve"> </w:t>
      </w:r>
      <w:r w:rsidRPr="00C479D3">
        <w:rPr>
          <w:rFonts w:ascii="Acumin Pro" w:hAnsi="Acumin Pro" w:hint="eastAsia"/>
          <w:sz w:val="22"/>
          <w:szCs w:val="22"/>
          <w:lang w:val="sr"/>
        </w:rPr>
        <w:t>радне</w:t>
      </w:r>
      <w:r w:rsidRPr="00C479D3">
        <w:rPr>
          <w:rFonts w:ascii="Acumin Pro" w:hAnsi="Acumin Pro"/>
          <w:sz w:val="22"/>
          <w:szCs w:val="22"/>
          <w:lang w:val="sr"/>
        </w:rPr>
        <w:t xml:space="preserve"> </w:t>
      </w:r>
      <w:r w:rsidRPr="00C479D3">
        <w:rPr>
          <w:rFonts w:ascii="Acumin Pro" w:hAnsi="Acumin Pro" w:hint="eastAsia"/>
          <w:sz w:val="22"/>
          <w:szCs w:val="22"/>
          <w:lang w:val="sr"/>
        </w:rPr>
        <w:t>експлоатације</w:t>
      </w:r>
      <w:r w:rsidRPr="00C479D3">
        <w:rPr>
          <w:rFonts w:ascii="Acumin Pro" w:hAnsi="Acumin Pro"/>
          <w:sz w:val="22"/>
          <w:szCs w:val="22"/>
          <w:lang w:val="sr"/>
        </w:rPr>
        <w:t xml:space="preserve">, </w:t>
      </w:r>
      <w:r w:rsidRPr="00C479D3">
        <w:rPr>
          <w:rFonts w:ascii="Acumin Pro" w:hAnsi="Acumin Pro" w:hint="eastAsia"/>
          <w:sz w:val="22"/>
          <w:szCs w:val="22"/>
          <w:lang w:val="sr"/>
        </w:rPr>
        <w:t>као</w:t>
      </w:r>
      <w:r w:rsidRPr="00C479D3">
        <w:rPr>
          <w:rFonts w:ascii="Acumin Pro" w:hAnsi="Acumin Pro"/>
          <w:sz w:val="22"/>
          <w:szCs w:val="22"/>
          <w:lang w:val="sr"/>
        </w:rPr>
        <w:t xml:space="preserve"> </w:t>
      </w:r>
      <w:r w:rsidRPr="00C479D3">
        <w:rPr>
          <w:rFonts w:ascii="Acumin Pro" w:hAnsi="Acumin Pro" w:hint="eastAsia"/>
          <w:sz w:val="22"/>
          <w:szCs w:val="22"/>
          <w:lang w:val="sr"/>
        </w:rPr>
        <w:t>и</w:t>
      </w:r>
      <w:r w:rsidRPr="00C479D3">
        <w:rPr>
          <w:rFonts w:ascii="Acumin Pro" w:hAnsi="Acumin Pro"/>
          <w:sz w:val="22"/>
          <w:szCs w:val="22"/>
          <w:lang w:val="sr"/>
        </w:rPr>
        <w:t xml:space="preserve"> </w:t>
      </w:r>
      <w:r w:rsidRPr="00C479D3">
        <w:rPr>
          <w:rFonts w:ascii="Acumin Pro" w:hAnsi="Acumin Pro" w:hint="eastAsia"/>
          <w:sz w:val="22"/>
          <w:szCs w:val="22"/>
          <w:lang w:val="sr"/>
        </w:rPr>
        <w:t>захтев</w:t>
      </w:r>
      <w:r w:rsidRPr="00C479D3">
        <w:rPr>
          <w:rFonts w:ascii="Acumin Pro" w:hAnsi="Acumin Pro"/>
          <w:sz w:val="22"/>
          <w:szCs w:val="22"/>
          <w:lang w:val="sr"/>
        </w:rPr>
        <w:t xml:space="preserve"> </w:t>
      </w:r>
      <w:r w:rsidRPr="00C479D3">
        <w:rPr>
          <w:rFonts w:ascii="Acumin Pro" w:hAnsi="Acumin Pro" w:hint="eastAsia"/>
          <w:sz w:val="22"/>
          <w:szCs w:val="22"/>
          <w:lang w:val="sr"/>
        </w:rPr>
        <w:t>за</w:t>
      </w:r>
      <w:r w:rsidRPr="00C479D3">
        <w:rPr>
          <w:rFonts w:ascii="Acumin Pro" w:hAnsi="Acumin Pro"/>
          <w:sz w:val="22"/>
          <w:szCs w:val="22"/>
          <w:lang w:val="sr"/>
        </w:rPr>
        <w:t xml:space="preserve"> </w:t>
      </w:r>
      <w:r w:rsidRPr="00C479D3">
        <w:rPr>
          <w:rFonts w:ascii="Acumin Pro" w:hAnsi="Acumin Pro" w:hint="eastAsia"/>
          <w:sz w:val="22"/>
          <w:szCs w:val="22"/>
          <w:lang w:val="sr"/>
        </w:rPr>
        <w:t>реаговање</w:t>
      </w:r>
      <w:r w:rsidRPr="00C479D3">
        <w:rPr>
          <w:rFonts w:ascii="Acumin Pro" w:hAnsi="Acumin Pro"/>
          <w:sz w:val="22"/>
          <w:szCs w:val="22"/>
          <w:lang w:val="sr"/>
        </w:rPr>
        <w:t xml:space="preserve"> </w:t>
      </w:r>
      <w:r w:rsidRPr="00C479D3">
        <w:rPr>
          <w:rFonts w:ascii="Acumin Pro" w:hAnsi="Acumin Pro" w:hint="eastAsia"/>
          <w:sz w:val="22"/>
          <w:szCs w:val="22"/>
          <w:lang w:val="sr"/>
        </w:rPr>
        <w:t>надлежних</w:t>
      </w:r>
      <w:r w:rsidRPr="00C479D3">
        <w:rPr>
          <w:rFonts w:ascii="Acumin Pro" w:hAnsi="Acumin Pro"/>
          <w:sz w:val="22"/>
          <w:szCs w:val="22"/>
          <w:lang w:val="sr"/>
        </w:rPr>
        <w:t xml:space="preserve"> </w:t>
      </w:r>
      <w:r w:rsidRPr="00C479D3">
        <w:rPr>
          <w:rFonts w:ascii="Acumin Pro" w:hAnsi="Acumin Pro" w:hint="eastAsia"/>
          <w:sz w:val="22"/>
          <w:szCs w:val="22"/>
          <w:lang w:val="sr"/>
        </w:rPr>
        <w:t>органа</w:t>
      </w:r>
      <w:r w:rsidRPr="00C479D3">
        <w:rPr>
          <w:rFonts w:ascii="Acumin Pro" w:hAnsi="Acumin Pro"/>
          <w:sz w:val="22"/>
          <w:szCs w:val="22"/>
          <w:lang w:val="sr"/>
        </w:rPr>
        <w:t>.</w:t>
      </w:r>
      <w:r w:rsidRPr="00C479D3">
        <w:rPr>
          <w:rStyle w:val="FootnoteReference"/>
          <w:rFonts w:ascii="Acumin Pro" w:hAnsi="Acumin Pro"/>
          <w:sz w:val="22"/>
          <w:szCs w:val="22"/>
          <w:lang w:val="sr"/>
        </w:rPr>
        <w:footnoteReference w:id="33"/>
      </w:r>
      <w:r w:rsidRPr="00C479D3">
        <w:rPr>
          <w:rFonts w:ascii="Acumin Pro" w:hAnsi="Acumin Pro"/>
          <w:sz w:val="22"/>
          <w:szCs w:val="22"/>
          <w:lang w:val="sr"/>
        </w:rPr>
        <w:t> </w:t>
      </w:r>
      <w:r w:rsidRPr="00C479D3">
        <w:rPr>
          <w:rFonts w:ascii="Acumin Pro" w:hAnsi="Acumin Pro" w:hint="eastAsia"/>
          <w:sz w:val="22"/>
          <w:szCs w:val="22"/>
          <w:lang w:val="sr"/>
        </w:rPr>
        <w:t>Убрзо</w:t>
      </w:r>
      <w:r w:rsidRPr="00C479D3">
        <w:rPr>
          <w:rFonts w:ascii="Acumin Pro" w:hAnsi="Acumin Pro"/>
          <w:sz w:val="22"/>
          <w:szCs w:val="22"/>
          <w:lang w:val="sr"/>
        </w:rPr>
        <w:t xml:space="preserve"> </w:t>
      </w:r>
      <w:r w:rsidRPr="00C479D3">
        <w:rPr>
          <w:rFonts w:ascii="Acumin Pro" w:hAnsi="Acumin Pro" w:hint="eastAsia"/>
          <w:sz w:val="22"/>
          <w:szCs w:val="22"/>
          <w:lang w:val="sr"/>
        </w:rPr>
        <w:t>након</w:t>
      </w:r>
      <w:r w:rsidRPr="00C479D3">
        <w:rPr>
          <w:rFonts w:ascii="Acumin Pro" w:hAnsi="Acumin Pro"/>
          <w:sz w:val="22"/>
          <w:szCs w:val="22"/>
          <w:lang w:val="sr"/>
        </w:rPr>
        <w:t xml:space="preserve"> </w:t>
      </w:r>
      <w:r w:rsidRPr="00C479D3">
        <w:rPr>
          <w:rFonts w:ascii="Acumin Pro" w:hAnsi="Acumin Pro" w:hint="eastAsia"/>
          <w:sz w:val="22"/>
          <w:szCs w:val="22"/>
          <w:lang w:val="sr"/>
        </w:rPr>
        <w:t>тога</w:t>
      </w:r>
      <w:r w:rsidRPr="00C479D3">
        <w:rPr>
          <w:rFonts w:ascii="Acumin Pro" w:hAnsi="Acumin Pro"/>
          <w:sz w:val="22"/>
          <w:szCs w:val="22"/>
          <w:lang w:val="sr"/>
        </w:rPr>
        <w:t xml:space="preserve">, </w:t>
      </w:r>
      <w:r w:rsidRPr="00C479D3">
        <w:rPr>
          <w:rFonts w:ascii="Acumin Pro" w:hAnsi="Acumin Pro" w:hint="eastAsia"/>
          <w:sz w:val="22"/>
          <w:szCs w:val="22"/>
          <w:shd w:val="clear" w:color="auto" w:fill="FFFFFF"/>
          <w:lang w:val="sr"/>
        </w:rPr>
        <w:t>Сектор</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за</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ванредне</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ситуације</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МУП</w:t>
      </w:r>
      <w:r w:rsidRPr="00C479D3">
        <w:rPr>
          <w:rFonts w:ascii="Acumin Pro" w:hAnsi="Acumin Pro"/>
          <w:sz w:val="22"/>
          <w:szCs w:val="22"/>
          <w:shd w:val="clear" w:color="auto" w:fill="FFFFFF"/>
          <w:lang w:val="sr"/>
        </w:rPr>
        <w:t>-</w:t>
      </w:r>
      <w:r w:rsidRPr="00C479D3">
        <w:rPr>
          <w:rFonts w:ascii="Acumin Pro" w:hAnsi="Acumin Pro" w:hint="eastAsia"/>
          <w:sz w:val="22"/>
          <w:szCs w:val="22"/>
          <w:shd w:val="clear" w:color="auto" w:fill="FFFFFF"/>
          <w:lang w:val="sr"/>
        </w:rPr>
        <w:t>а</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издао</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је</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наредбу</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којом</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су</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радничке</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бараке</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проглашене</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опасним</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и</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неприкладним</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за</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смештај</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због</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цурења</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гаса</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Због</w:t>
      </w:r>
      <w:r w:rsidRPr="00C479D3">
        <w:rPr>
          <w:rFonts w:ascii="Acumin Pro" w:hAnsi="Acumin Pro"/>
          <w:sz w:val="22"/>
          <w:szCs w:val="22"/>
          <w:shd w:val="clear" w:color="auto" w:fill="FFFFFF"/>
          <w:lang w:val="sr"/>
        </w:rPr>
        <w:t xml:space="preserve"> </w:t>
      </w:r>
      <w:r w:rsidRPr="00C479D3">
        <w:rPr>
          <w:rFonts w:ascii="Acumin Pro" w:hAnsi="Acumin Pro" w:hint="eastAsia"/>
          <w:sz w:val="22"/>
          <w:szCs w:val="22"/>
          <w:shd w:val="clear" w:color="auto" w:fill="FFFFFF"/>
          <w:lang w:val="sr"/>
        </w:rPr>
        <w:t>тога</w:t>
      </w:r>
      <w:r w:rsidRPr="00C479D3">
        <w:rPr>
          <w:rFonts w:ascii="Acumin Pro" w:hAnsi="Acumin Pro"/>
          <w:sz w:val="22"/>
          <w:szCs w:val="22"/>
          <w:lang w:val="sr"/>
        </w:rPr>
        <w:t xml:space="preserve"> </w:t>
      </w:r>
      <w:r w:rsidRPr="00C479D3">
        <w:rPr>
          <w:rFonts w:ascii="Acumin Pro" w:hAnsi="Acumin Pro" w:hint="eastAsia"/>
          <w:sz w:val="22"/>
          <w:szCs w:val="22"/>
          <w:lang w:val="sr"/>
        </w:rPr>
        <w:t>је</w:t>
      </w:r>
      <w:r w:rsidRPr="00C479D3">
        <w:rPr>
          <w:rFonts w:ascii="Acumin Pro" w:hAnsi="Acumin Pro"/>
          <w:sz w:val="22"/>
          <w:szCs w:val="22"/>
          <w:lang w:val="sr"/>
        </w:rPr>
        <w:t xml:space="preserve"> </w:t>
      </w:r>
      <w:r w:rsidRPr="00C479D3">
        <w:rPr>
          <w:rFonts w:ascii="Acumin Pro" w:hAnsi="Acumin Pro" w:hint="eastAsia"/>
          <w:sz w:val="22"/>
          <w:szCs w:val="22"/>
          <w:lang w:val="sr"/>
        </w:rPr>
        <w:t>већина</w:t>
      </w:r>
      <w:r w:rsidRPr="00C479D3">
        <w:rPr>
          <w:rFonts w:ascii="Acumin Pro" w:hAnsi="Acumin Pro"/>
          <w:sz w:val="22"/>
          <w:szCs w:val="22"/>
          <w:lang w:val="sr"/>
        </w:rPr>
        <w:t xml:space="preserve"> </w:t>
      </w:r>
      <w:r w:rsidRPr="00C479D3">
        <w:rPr>
          <w:rFonts w:ascii="Acumin Pro" w:hAnsi="Acumin Pro" w:hint="eastAsia"/>
          <w:sz w:val="22"/>
          <w:szCs w:val="22"/>
          <w:lang w:val="sr"/>
        </w:rPr>
        <w:t>радника</w:t>
      </w:r>
      <w:r w:rsidRPr="00C479D3">
        <w:rPr>
          <w:rFonts w:ascii="Acumin Pro" w:hAnsi="Acumin Pro"/>
          <w:sz w:val="22"/>
          <w:szCs w:val="22"/>
          <w:lang w:val="sr"/>
        </w:rPr>
        <w:t xml:space="preserve"> </w:t>
      </w:r>
      <w:r w:rsidRPr="00C479D3">
        <w:rPr>
          <w:rFonts w:ascii="Acumin Pro" w:hAnsi="Acumin Pro" w:hint="eastAsia"/>
          <w:sz w:val="22"/>
          <w:szCs w:val="22"/>
          <w:lang w:val="sr"/>
        </w:rPr>
        <w:t>измештена</w:t>
      </w:r>
      <w:r w:rsidRPr="00C479D3">
        <w:rPr>
          <w:rFonts w:ascii="Acumin Pro" w:hAnsi="Acumin Pro"/>
          <w:sz w:val="22"/>
          <w:szCs w:val="22"/>
          <w:lang w:val="sr"/>
        </w:rPr>
        <w:t xml:space="preserve"> </w:t>
      </w:r>
      <w:r w:rsidRPr="00C479D3">
        <w:rPr>
          <w:rFonts w:ascii="Acumin Pro" w:hAnsi="Acumin Pro" w:hint="eastAsia"/>
          <w:sz w:val="22"/>
          <w:szCs w:val="22"/>
          <w:lang w:val="sr"/>
        </w:rPr>
        <w:t>на</w:t>
      </w:r>
      <w:r w:rsidRPr="00C479D3">
        <w:rPr>
          <w:rFonts w:ascii="Acumin Pro" w:hAnsi="Acumin Pro"/>
          <w:sz w:val="22"/>
          <w:szCs w:val="22"/>
          <w:lang w:val="sr"/>
        </w:rPr>
        <w:t xml:space="preserve"> </w:t>
      </w:r>
      <w:r w:rsidRPr="00C479D3">
        <w:rPr>
          <w:rFonts w:ascii="Acumin Pro" w:hAnsi="Acumin Pro" w:hint="eastAsia"/>
          <w:sz w:val="22"/>
          <w:szCs w:val="22"/>
          <w:lang w:val="sr"/>
        </w:rPr>
        <w:t>неколико</w:t>
      </w:r>
      <w:r w:rsidRPr="00C479D3">
        <w:rPr>
          <w:rFonts w:ascii="Acumin Pro" w:hAnsi="Acumin Pro"/>
          <w:sz w:val="22"/>
          <w:szCs w:val="22"/>
          <w:lang w:val="sr"/>
        </w:rPr>
        <w:t xml:space="preserve"> </w:t>
      </w:r>
      <w:r w:rsidRPr="00C479D3">
        <w:rPr>
          <w:rFonts w:ascii="Acumin Pro" w:hAnsi="Acumin Pro" w:hint="eastAsia"/>
          <w:sz w:val="22"/>
          <w:szCs w:val="22"/>
          <w:lang w:val="sr"/>
        </w:rPr>
        <w:t>других</w:t>
      </w:r>
      <w:r w:rsidRPr="00C479D3">
        <w:rPr>
          <w:rFonts w:ascii="Acumin Pro" w:hAnsi="Acumin Pro"/>
          <w:sz w:val="22"/>
          <w:szCs w:val="22"/>
          <w:lang w:val="sr"/>
        </w:rPr>
        <w:t xml:space="preserve"> </w:t>
      </w:r>
      <w:r w:rsidRPr="00C479D3">
        <w:rPr>
          <w:rFonts w:ascii="Acumin Pro" w:hAnsi="Acumin Pro" w:hint="eastAsia"/>
          <w:sz w:val="22"/>
          <w:szCs w:val="22"/>
          <w:lang w:val="sr"/>
        </w:rPr>
        <w:t>локација</w:t>
      </w:r>
      <w:r w:rsidRPr="00C479D3">
        <w:rPr>
          <w:rFonts w:ascii="Acumin Pro" w:hAnsi="Acumin Pro"/>
          <w:sz w:val="22"/>
          <w:szCs w:val="22"/>
          <w:lang w:val="sr"/>
        </w:rPr>
        <w:t xml:space="preserve">, </w:t>
      </w:r>
      <w:r w:rsidRPr="00C479D3">
        <w:rPr>
          <w:rFonts w:ascii="Acumin Pro" w:hAnsi="Acumin Pro" w:hint="eastAsia"/>
          <w:sz w:val="22"/>
          <w:szCs w:val="22"/>
          <w:lang w:val="sr"/>
        </w:rPr>
        <w:t>док</w:t>
      </w:r>
      <w:r w:rsidRPr="00C479D3">
        <w:rPr>
          <w:rFonts w:ascii="Acumin Pro" w:hAnsi="Acumin Pro"/>
          <w:sz w:val="22"/>
          <w:szCs w:val="22"/>
          <w:lang w:val="sr"/>
        </w:rPr>
        <w:t xml:space="preserve"> </w:t>
      </w:r>
      <w:r w:rsidRPr="00C479D3">
        <w:rPr>
          <w:rFonts w:ascii="Acumin Pro" w:hAnsi="Acumin Pro" w:hint="eastAsia"/>
          <w:sz w:val="22"/>
          <w:szCs w:val="22"/>
          <w:lang w:val="sr"/>
        </w:rPr>
        <w:t>је</w:t>
      </w:r>
      <w:r w:rsidRPr="00C479D3">
        <w:rPr>
          <w:rFonts w:ascii="Acumin Pro" w:hAnsi="Acumin Pro"/>
          <w:sz w:val="22"/>
          <w:szCs w:val="22"/>
          <w:lang w:val="sr"/>
        </w:rPr>
        <w:t xml:space="preserve"> </w:t>
      </w:r>
      <w:r w:rsidRPr="00C479D3">
        <w:rPr>
          <w:rFonts w:ascii="Acumin Pro" w:hAnsi="Acumin Pro" w:hint="eastAsia"/>
          <w:sz w:val="22"/>
          <w:szCs w:val="22"/>
          <w:lang w:val="sr"/>
        </w:rPr>
        <w:t>део</w:t>
      </w:r>
      <w:r w:rsidRPr="00C479D3">
        <w:rPr>
          <w:rFonts w:ascii="Acumin Pro" w:hAnsi="Acumin Pro"/>
          <w:sz w:val="22"/>
          <w:szCs w:val="22"/>
          <w:lang w:val="sr"/>
        </w:rPr>
        <w:t xml:space="preserve"> </w:t>
      </w:r>
      <w:r w:rsidRPr="00C479D3">
        <w:rPr>
          <w:rFonts w:ascii="Acumin Pro" w:hAnsi="Acumin Pro" w:hint="eastAsia"/>
          <w:sz w:val="22"/>
          <w:szCs w:val="22"/>
          <w:lang w:val="sr"/>
        </w:rPr>
        <w:t>остао</w:t>
      </w:r>
      <w:r w:rsidRPr="00C479D3">
        <w:rPr>
          <w:rFonts w:ascii="Acumin Pro" w:hAnsi="Acumin Pro"/>
          <w:sz w:val="22"/>
          <w:szCs w:val="22"/>
          <w:lang w:val="sr"/>
        </w:rPr>
        <w:t xml:space="preserve"> </w:t>
      </w:r>
      <w:r w:rsidRPr="00C479D3">
        <w:rPr>
          <w:rFonts w:ascii="Acumin Pro" w:hAnsi="Acumin Pro" w:hint="eastAsia"/>
          <w:sz w:val="22"/>
          <w:szCs w:val="22"/>
          <w:lang w:val="sr"/>
        </w:rPr>
        <w:t>да</w:t>
      </w:r>
      <w:r w:rsidRPr="00C479D3">
        <w:rPr>
          <w:rFonts w:ascii="Acumin Pro" w:hAnsi="Acumin Pro"/>
          <w:sz w:val="22"/>
          <w:szCs w:val="22"/>
          <w:lang w:val="sr"/>
        </w:rPr>
        <w:t xml:space="preserve"> </w:t>
      </w:r>
      <w:r w:rsidRPr="00C479D3">
        <w:rPr>
          <w:rFonts w:ascii="Acumin Pro" w:hAnsi="Acumin Pro" w:hint="eastAsia"/>
          <w:sz w:val="22"/>
          <w:szCs w:val="22"/>
          <w:lang w:val="sr"/>
        </w:rPr>
        <w:t>живи</w:t>
      </w:r>
      <w:r w:rsidRPr="00C479D3">
        <w:rPr>
          <w:rFonts w:ascii="Acumin Pro" w:hAnsi="Acumin Pro"/>
          <w:sz w:val="22"/>
          <w:szCs w:val="22"/>
          <w:lang w:val="sr"/>
        </w:rPr>
        <w:t xml:space="preserve"> </w:t>
      </w:r>
      <w:r w:rsidRPr="00C479D3">
        <w:rPr>
          <w:rFonts w:ascii="Acumin Pro" w:hAnsi="Acumin Pro" w:hint="eastAsia"/>
          <w:sz w:val="22"/>
          <w:szCs w:val="22"/>
          <w:lang w:val="sr"/>
        </w:rPr>
        <w:t>у</w:t>
      </w:r>
      <w:r w:rsidRPr="00C479D3">
        <w:rPr>
          <w:rFonts w:ascii="Acumin Pro" w:hAnsi="Acumin Pro"/>
          <w:sz w:val="22"/>
          <w:szCs w:val="22"/>
          <w:lang w:val="sr"/>
        </w:rPr>
        <w:t xml:space="preserve"> </w:t>
      </w:r>
      <w:r w:rsidRPr="00C479D3">
        <w:rPr>
          <w:rFonts w:ascii="Acumin Pro" w:hAnsi="Acumin Pro" w:hint="eastAsia"/>
          <w:sz w:val="22"/>
          <w:szCs w:val="22"/>
          <w:lang w:val="sr"/>
        </w:rPr>
        <w:t>првобитним</w:t>
      </w:r>
      <w:r w:rsidRPr="00C479D3">
        <w:rPr>
          <w:rFonts w:ascii="Acumin Pro" w:hAnsi="Acumin Pro"/>
          <w:sz w:val="22"/>
          <w:szCs w:val="22"/>
          <w:lang w:val="sr"/>
        </w:rPr>
        <w:t xml:space="preserve"> </w:t>
      </w:r>
      <w:r w:rsidRPr="00C479D3">
        <w:rPr>
          <w:rFonts w:ascii="Acumin Pro" w:hAnsi="Acumin Pro" w:hint="eastAsia"/>
          <w:sz w:val="22"/>
          <w:szCs w:val="22"/>
          <w:lang w:val="sr"/>
        </w:rPr>
        <w:t>објектима</w:t>
      </w:r>
      <w:r w:rsidRPr="00C479D3">
        <w:rPr>
          <w:rFonts w:ascii="Acumin Pro" w:hAnsi="Acumin Pro"/>
          <w:sz w:val="22"/>
          <w:szCs w:val="22"/>
          <w:lang w:val="sr"/>
        </w:rPr>
        <w:t xml:space="preserve"> </w:t>
      </w:r>
      <w:r w:rsidRPr="00C479D3">
        <w:rPr>
          <w:rFonts w:ascii="Acumin Pro" w:hAnsi="Acumin Pro" w:hint="eastAsia"/>
          <w:sz w:val="22"/>
          <w:szCs w:val="22"/>
          <w:lang w:val="sr"/>
        </w:rPr>
        <w:t>који</w:t>
      </w:r>
      <w:r w:rsidRPr="00C479D3">
        <w:rPr>
          <w:rFonts w:ascii="Acumin Pro" w:hAnsi="Acumin Pro"/>
          <w:sz w:val="22"/>
          <w:szCs w:val="22"/>
          <w:lang w:val="sr"/>
        </w:rPr>
        <w:t xml:space="preserve"> </w:t>
      </w:r>
      <w:r w:rsidRPr="00C479D3">
        <w:rPr>
          <w:rFonts w:ascii="Acumin Pro" w:hAnsi="Acumin Pro" w:hint="eastAsia"/>
          <w:sz w:val="22"/>
          <w:szCs w:val="22"/>
          <w:lang w:val="sr"/>
        </w:rPr>
        <w:t>су</w:t>
      </w:r>
      <w:r w:rsidRPr="00C479D3">
        <w:rPr>
          <w:rFonts w:ascii="Acumin Pro" w:hAnsi="Acumin Pro"/>
          <w:sz w:val="22"/>
          <w:szCs w:val="22"/>
          <w:lang w:val="sr"/>
        </w:rPr>
        <w:t xml:space="preserve"> </w:t>
      </w:r>
      <w:r w:rsidRPr="00C479D3">
        <w:rPr>
          <w:rFonts w:ascii="Acumin Pro" w:hAnsi="Acumin Pro" w:hint="eastAsia"/>
          <w:sz w:val="22"/>
          <w:szCs w:val="22"/>
          <w:lang w:val="sr"/>
        </w:rPr>
        <w:t>проглашени</w:t>
      </w:r>
      <w:r w:rsidRPr="00C479D3">
        <w:rPr>
          <w:rFonts w:ascii="Acumin Pro" w:hAnsi="Acumin Pro"/>
          <w:sz w:val="22"/>
          <w:szCs w:val="22"/>
          <w:lang w:val="sr"/>
        </w:rPr>
        <w:t xml:space="preserve"> </w:t>
      </w:r>
      <w:r w:rsidRPr="00C479D3">
        <w:rPr>
          <w:rFonts w:ascii="Acumin Pro" w:hAnsi="Acumin Pro" w:hint="eastAsia"/>
          <w:sz w:val="22"/>
          <w:szCs w:val="22"/>
          <w:lang w:val="sr"/>
        </w:rPr>
        <w:t>опасним</w:t>
      </w:r>
      <w:r w:rsidRPr="00C479D3">
        <w:rPr>
          <w:rFonts w:ascii="Acumin Pro" w:hAnsi="Acumin Pro"/>
          <w:sz w:val="22"/>
          <w:szCs w:val="22"/>
          <w:lang w:val="sr"/>
        </w:rPr>
        <w:t xml:space="preserve">. </w:t>
      </w:r>
      <w:r w:rsidRPr="00C479D3">
        <w:rPr>
          <w:rFonts w:ascii="Acumin Pro" w:hAnsi="Acumin Pro" w:hint="eastAsia"/>
          <w:sz w:val="22"/>
          <w:szCs w:val="22"/>
          <w:lang w:val="sr"/>
        </w:rPr>
        <w:t>Према</w:t>
      </w:r>
      <w:r w:rsidRPr="00C479D3">
        <w:rPr>
          <w:rFonts w:ascii="Acumin Pro" w:hAnsi="Acumin Pro"/>
          <w:sz w:val="22"/>
          <w:szCs w:val="22"/>
          <w:lang w:val="sr"/>
        </w:rPr>
        <w:t xml:space="preserve"> </w:t>
      </w:r>
      <w:r w:rsidRPr="00C479D3">
        <w:rPr>
          <w:rFonts w:ascii="Acumin Pro" w:hAnsi="Acumin Pro" w:hint="eastAsia"/>
          <w:sz w:val="22"/>
          <w:szCs w:val="22"/>
          <w:lang w:val="sr"/>
        </w:rPr>
        <w:t>доступним</w:t>
      </w:r>
      <w:r w:rsidRPr="00C479D3">
        <w:rPr>
          <w:rFonts w:ascii="Acumin Pro" w:hAnsi="Acumin Pro"/>
          <w:sz w:val="22"/>
          <w:szCs w:val="22"/>
          <w:lang w:val="sr"/>
        </w:rPr>
        <w:t xml:space="preserve"> </w:t>
      </w:r>
      <w:r w:rsidRPr="00C479D3">
        <w:rPr>
          <w:rFonts w:ascii="Acumin Pro" w:hAnsi="Acumin Pro" w:hint="eastAsia"/>
          <w:sz w:val="22"/>
          <w:szCs w:val="22"/>
          <w:lang w:val="sr"/>
        </w:rPr>
        <w:t>информацијама</w:t>
      </w:r>
      <w:r w:rsidRPr="00C479D3">
        <w:rPr>
          <w:rFonts w:ascii="Acumin Pro" w:hAnsi="Acumin Pro"/>
          <w:sz w:val="22"/>
          <w:szCs w:val="22"/>
          <w:lang w:val="sr"/>
        </w:rPr>
        <w:t xml:space="preserve">, </w:t>
      </w:r>
      <w:r w:rsidRPr="00C479D3">
        <w:rPr>
          <w:rFonts w:ascii="Acumin Pro" w:hAnsi="Acumin Pro" w:hint="eastAsia"/>
          <w:sz w:val="22"/>
          <w:szCs w:val="22"/>
          <w:lang w:val="sr"/>
        </w:rPr>
        <w:t>овај</w:t>
      </w:r>
      <w:r w:rsidRPr="00C479D3">
        <w:rPr>
          <w:rFonts w:ascii="Acumin Pro" w:hAnsi="Acumin Pro"/>
          <w:sz w:val="22"/>
          <w:szCs w:val="22"/>
          <w:lang w:val="sr"/>
        </w:rPr>
        <w:t xml:space="preserve"> </w:t>
      </w:r>
      <w:r w:rsidRPr="00C479D3">
        <w:rPr>
          <w:rFonts w:ascii="Acumin Pro" w:hAnsi="Acumin Pro" w:hint="eastAsia"/>
          <w:sz w:val="22"/>
          <w:szCs w:val="22"/>
          <w:lang w:val="sr"/>
        </w:rPr>
        <w:t>нови</w:t>
      </w:r>
      <w:r w:rsidRPr="00C479D3">
        <w:rPr>
          <w:rFonts w:ascii="Acumin Pro" w:hAnsi="Acumin Pro"/>
          <w:sz w:val="22"/>
          <w:szCs w:val="22"/>
          <w:lang w:val="sr"/>
        </w:rPr>
        <w:t xml:space="preserve"> </w:t>
      </w:r>
      <w:r w:rsidRPr="00C479D3">
        <w:rPr>
          <w:rFonts w:ascii="Acumin Pro" w:hAnsi="Acumin Pro" w:hint="eastAsia"/>
          <w:sz w:val="22"/>
          <w:szCs w:val="22"/>
          <w:lang w:val="sr"/>
        </w:rPr>
        <w:t>смештај</w:t>
      </w:r>
      <w:r w:rsidRPr="00C479D3">
        <w:rPr>
          <w:rFonts w:ascii="Acumin Pro" w:hAnsi="Acumin Pro"/>
          <w:sz w:val="22"/>
          <w:szCs w:val="22"/>
          <w:lang w:val="sr"/>
        </w:rPr>
        <w:t xml:space="preserve"> </w:t>
      </w:r>
      <w:r w:rsidRPr="00C479D3">
        <w:rPr>
          <w:rFonts w:ascii="Acumin Pro" w:hAnsi="Acumin Pro" w:hint="eastAsia"/>
          <w:sz w:val="22"/>
          <w:szCs w:val="22"/>
          <w:lang w:val="sr"/>
        </w:rPr>
        <w:t>је</w:t>
      </w:r>
      <w:r w:rsidRPr="00C479D3">
        <w:rPr>
          <w:rFonts w:ascii="Acumin Pro" w:hAnsi="Acumin Pro"/>
          <w:sz w:val="22"/>
          <w:szCs w:val="22"/>
          <w:lang w:val="sr"/>
        </w:rPr>
        <w:t xml:space="preserve"> </w:t>
      </w:r>
      <w:r w:rsidRPr="00C479D3">
        <w:rPr>
          <w:rFonts w:ascii="Acumin Pro" w:hAnsi="Acumin Pro" w:hint="eastAsia"/>
          <w:sz w:val="22"/>
          <w:szCs w:val="22"/>
          <w:lang w:val="sr"/>
        </w:rPr>
        <w:t>донекле</w:t>
      </w:r>
      <w:r w:rsidRPr="00C479D3">
        <w:rPr>
          <w:rFonts w:ascii="Acumin Pro" w:hAnsi="Acumin Pro"/>
          <w:sz w:val="22"/>
          <w:szCs w:val="22"/>
          <w:lang w:val="sr"/>
        </w:rPr>
        <w:t xml:space="preserve"> </w:t>
      </w:r>
      <w:r w:rsidRPr="00C479D3">
        <w:rPr>
          <w:rFonts w:ascii="Acumin Pro" w:hAnsi="Acumin Pro" w:hint="eastAsia"/>
          <w:sz w:val="22"/>
          <w:szCs w:val="22"/>
          <w:lang w:val="sr"/>
        </w:rPr>
        <w:t>бољи</w:t>
      </w:r>
      <w:r w:rsidRPr="00C479D3">
        <w:rPr>
          <w:rFonts w:ascii="Acumin Pro" w:hAnsi="Acumin Pro"/>
          <w:sz w:val="22"/>
          <w:szCs w:val="22"/>
          <w:lang w:val="sr"/>
        </w:rPr>
        <w:t xml:space="preserve"> </w:t>
      </w:r>
      <w:r w:rsidRPr="00C479D3">
        <w:rPr>
          <w:rFonts w:ascii="Acumin Pro" w:hAnsi="Acumin Pro" w:hint="eastAsia"/>
          <w:sz w:val="22"/>
          <w:szCs w:val="22"/>
          <w:lang w:val="sr"/>
        </w:rPr>
        <w:t>од</w:t>
      </w:r>
      <w:r w:rsidRPr="00C479D3">
        <w:rPr>
          <w:rFonts w:ascii="Acumin Pro" w:hAnsi="Acumin Pro"/>
          <w:sz w:val="22"/>
          <w:szCs w:val="22"/>
          <w:lang w:val="sr"/>
        </w:rPr>
        <w:t xml:space="preserve"> </w:t>
      </w:r>
      <w:r w:rsidRPr="00C479D3">
        <w:rPr>
          <w:rFonts w:ascii="Acumin Pro" w:hAnsi="Acumin Pro" w:hint="eastAsia"/>
          <w:sz w:val="22"/>
          <w:szCs w:val="22"/>
          <w:lang w:val="sr"/>
        </w:rPr>
        <w:t>оног</w:t>
      </w:r>
      <w:r w:rsidRPr="00C479D3">
        <w:rPr>
          <w:rFonts w:ascii="Acumin Pro" w:hAnsi="Acumin Pro"/>
          <w:sz w:val="22"/>
          <w:szCs w:val="22"/>
          <w:lang w:val="sr"/>
        </w:rPr>
        <w:t xml:space="preserve"> </w:t>
      </w:r>
      <w:r w:rsidRPr="00C479D3">
        <w:rPr>
          <w:rFonts w:ascii="Acumin Pro" w:hAnsi="Acumin Pro" w:hint="eastAsia"/>
          <w:sz w:val="22"/>
          <w:szCs w:val="22"/>
          <w:lang w:val="sr"/>
        </w:rPr>
        <w:t>у</w:t>
      </w:r>
      <w:r w:rsidRPr="00C479D3">
        <w:rPr>
          <w:rFonts w:ascii="Acumin Pro" w:hAnsi="Acumin Pro"/>
          <w:sz w:val="22"/>
          <w:szCs w:val="22"/>
          <w:lang w:val="sr"/>
        </w:rPr>
        <w:t xml:space="preserve"> </w:t>
      </w:r>
      <w:r w:rsidRPr="00C479D3">
        <w:rPr>
          <w:rFonts w:ascii="Acumin Pro" w:hAnsi="Acumin Pro" w:hint="eastAsia"/>
          <w:sz w:val="22"/>
          <w:szCs w:val="22"/>
          <w:lang w:val="sr"/>
        </w:rPr>
        <w:t>коме</w:t>
      </w:r>
      <w:r w:rsidRPr="00C479D3">
        <w:rPr>
          <w:rFonts w:ascii="Acumin Pro" w:hAnsi="Acumin Pro"/>
          <w:sz w:val="22"/>
          <w:szCs w:val="22"/>
          <w:lang w:val="sr"/>
        </w:rPr>
        <w:t xml:space="preserve"> </w:t>
      </w:r>
      <w:r w:rsidRPr="00C479D3">
        <w:rPr>
          <w:rFonts w:ascii="Acumin Pro" w:hAnsi="Acumin Pro" w:hint="eastAsia"/>
          <w:sz w:val="22"/>
          <w:szCs w:val="22"/>
          <w:lang w:val="sr"/>
        </w:rPr>
        <w:t>су</w:t>
      </w:r>
      <w:r w:rsidRPr="00C479D3">
        <w:rPr>
          <w:rFonts w:ascii="Acumin Pro" w:hAnsi="Acumin Pro"/>
          <w:sz w:val="22"/>
          <w:szCs w:val="22"/>
          <w:lang w:val="sr"/>
        </w:rPr>
        <w:t xml:space="preserve"> </w:t>
      </w:r>
      <w:r w:rsidRPr="00C479D3">
        <w:rPr>
          <w:rFonts w:ascii="Acumin Pro" w:hAnsi="Acumin Pro" w:hint="eastAsia"/>
          <w:sz w:val="22"/>
          <w:szCs w:val="22"/>
          <w:lang w:val="sr"/>
        </w:rPr>
        <w:t>били</w:t>
      </w:r>
      <w:r w:rsidRPr="00C479D3">
        <w:rPr>
          <w:rFonts w:ascii="Acumin Pro" w:hAnsi="Acumin Pro"/>
          <w:sz w:val="22"/>
          <w:szCs w:val="22"/>
          <w:lang w:val="sr"/>
        </w:rPr>
        <w:t xml:space="preserve"> </w:t>
      </w:r>
      <w:r w:rsidRPr="00C479D3">
        <w:rPr>
          <w:rFonts w:ascii="Acumin Pro" w:hAnsi="Acumin Pro" w:hint="eastAsia"/>
          <w:sz w:val="22"/>
          <w:szCs w:val="22"/>
          <w:lang w:val="sr"/>
        </w:rPr>
        <w:t>раније</w:t>
      </w:r>
      <w:r w:rsidRPr="00C479D3">
        <w:rPr>
          <w:rFonts w:ascii="Acumin Pro" w:hAnsi="Acumin Pro"/>
          <w:sz w:val="22"/>
          <w:szCs w:val="22"/>
          <w:lang w:val="sr"/>
        </w:rPr>
        <w:t xml:space="preserve">. </w:t>
      </w:r>
      <w:r w:rsidRPr="00C479D3">
        <w:rPr>
          <w:rFonts w:ascii="Acumin Pro" w:hAnsi="Acumin Pro" w:hint="eastAsia"/>
          <w:sz w:val="22"/>
          <w:szCs w:val="22"/>
          <w:lang w:val="sr"/>
        </w:rPr>
        <w:t>Међутим</w:t>
      </w:r>
      <w:r w:rsidRPr="00C479D3">
        <w:rPr>
          <w:rFonts w:ascii="Acumin Pro" w:hAnsi="Acumin Pro"/>
          <w:sz w:val="22"/>
          <w:szCs w:val="22"/>
          <w:lang w:val="sr"/>
        </w:rPr>
        <w:t xml:space="preserve">, </w:t>
      </w:r>
      <w:r w:rsidRPr="00C479D3">
        <w:rPr>
          <w:rFonts w:ascii="Acumin Pro" w:hAnsi="Acumin Pro" w:hint="eastAsia"/>
          <w:sz w:val="22"/>
          <w:szCs w:val="22"/>
          <w:lang w:val="sr"/>
        </w:rPr>
        <w:t>чак</w:t>
      </w:r>
      <w:r w:rsidRPr="00C479D3">
        <w:rPr>
          <w:rFonts w:ascii="Acumin Pro" w:hAnsi="Acumin Pro"/>
          <w:sz w:val="22"/>
          <w:szCs w:val="22"/>
          <w:lang w:val="sr"/>
        </w:rPr>
        <w:t xml:space="preserve"> </w:t>
      </w:r>
      <w:r w:rsidRPr="00C479D3">
        <w:rPr>
          <w:rFonts w:ascii="Acumin Pro" w:hAnsi="Acumin Pro" w:hint="eastAsia"/>
          <w:sz w:val="22"/>
          <w:szCs w:val="22"/>
          <w:lang w:val="sr"/>
        </w:rPr>
        <w:t>и</w:t>
      </w:r>
      <w:r w:rsidRPr="00C479D3">
        <w:rPr>
          <w:rFonts w:ascii="Acumin Pro" w:hAnsi="Acumin Pro"/>
          <w:sz w:val="22"/>
          <w:szCs w:val="22"/>
          <w:lang w:val="sr"/>
        </w:rPr>
        <w:t xml:space="preserve"> </w:t>
      </w:r>
      <w:r w:rsidRPr="00C479D3">
        <w:rPr>
          <w:rFonts w:ascii="Acumin Pro" w:hAnsi="Acumin Pro" w:hint="eastAsia"/>
          <w:sz w:val="22"/>
          <w:szCs w:val="22"/>
          <w:lang w:val="sr"/>
        </w:rPr>
        <w:t>на</w:t>
      </w:r>
      <w:r w:rsidRPr="00C479D3">
        <w:rPr>
          <w:rFonts w:ascii="Acumin Pro" w:hAnsi="Acumin Pro"/>
          <w:sz w:val="22"/>
          <w:szCs w:val="22"/>
          <w:lang w:val="sr"/>
        </w:rPr>
        <w:t xml:space="preserve"> </w:t>
      </w:r>
      <w:r w:rsidRPr="00C479D3">
        <w:rPr>
          <w:rFonts w:ascii="Acumin Pro" w:hAnsi="Acumin Pro" w:hint="eastAsia"/>
          <w:sz w:val="22"/>
          <w:szCs w:val="22"/>
          <w:lang w:val="sr"/>
        </w:rPr>
        <w:t>овим</w:t>
      </w:r>
      <w:r w:rsidRPr="00C479D3">
        <w:rPr>
          <w:rFonts w:ascii="Acumin Pro" w:hAnsi="Acumin Pro"/>
          <w:sz w:val="22"/>
          <w:szCs w:val="22"/>
          <w:lang w:val="sr"/>
        </w:rPr>
        <w:t xml:space="preserve"> </w:t>
      </w:r>
      <w:r w:rsidRPr="00C479D3">
        <w:rPr>
          <w:rFonts w:ascii="Acumin Pro" w:hAnsi="Acumin Pro" w:hint="eastAsia"/>
          <w:sz w:val="22"/>
          <w:szCs w:val="22"/>
          <w:lang w:val="sr"/>
        </w:rPr>
        <w:t>локацијама</w:t>
      </w:r>
      <w:r w:rsidRPr="00C479D3">
        <w:rPr>
          <w:rFonts w:ascii="Acumin Pro" w:hAnsi="Acumin Pro"/>
          <w:sz w:val="22"/>
          <w:szCs w:val="22"/>
          <w:lang w:val="sr"/>
        </w:rPr>
        <w:t xml:space="preserve">, </w:t>
      </w:r>
      <w:r w:rsidRPr="00C479D3">
        <w:rPr>
          <w:rFonts w:ascii="Acumin Pro" w:hAnsi="Acumin Pro" w:hint="eastAsia"/>
          <w:sz w:val="22"/>
          <w:szCs w:val="22"/>
          <w:lang w:val="sr"/>
        </w:rPr>
        <w:t>они</w:t>
      </w:r>
      <w:r w:rsidRPr="00C479D3">
        <w:rPr>
          <w:rFonts w:ascii="Acumin Pro" w:hAnsi="Acumin Pro"/>
          <w:sz w:val="22"/>
          <w:szCs w:val="22"/>
          <w:lang w:val="sr"/>
        </w:rPr>
        <w:t xml:space="preserve"> </w:t>
      </w:r>
      <w:r w:rsidRPr="00C479D3">
        <w:rPr>
          <w:rFonts w:ascii="Acumin Pro" w:hAnsi="Acumin Pro" w:hint="eastAsia"/>
          <w:sz w:val="22"/>
          <w:szCs w:val="22"/>
          <w:lang w:val="sr"/>
        </w:rPr>
        <w:t>су</w:t>
      </w:r>
      <w:r w:rsidRPr="00C479D3">
        <w:rPr>
          <w:rFonts w:ascii="Acumin Pro" w:hAnsi="Acumin Pro"/>
          <w:sz w:val="22"/>
          <w:szCs w:val="22"/>
          <w:lang w:val="sr"/>
        </w:rPr>
        <w:t xml:space="preserve"> </w:t>
      </w:r>
      <w:r w:rsidRPr="00C479D3">
        <w:rPr>
          <w:rFonts w:ascii="Acumin Pro" w:hAnsi="Acumin Pro" w:hint="eastAsia"/>
          <w:sz w:val="22"/>
          <w:szCs w:val="22"/>
          <w:lang w:val="sr"/>
        </w:rPr>
        <w:t>под</w:t>
      </w:r>
      <w:r w:rsidRPr="00C479D3">
        <w:rPr>
          <w:rFonts w:ascii="Acumin Pro" w:hAnsi="Acumin Pro"/>
          <w:sz w:val="22"/>
          <w:szCs w:val="22"/>
          <w:lang w:val="sr"/>
        </w:rPr>
        <w:t xml:space="preserve"> </w:t>
      </w:r>
      <w:r w:rsidRPr="00C479D3">
        <w:rPr>
          <w:rFonts w:ascii="Acumin Pro" w:hAnsi="Acumin Pro" w:hint="eastAsia"/>
          <w:sz w:val="22"/>
          <w:szCs w:val="22"/>
          <w:lang w:val="sr"/>
        </w:rPr>
        <w:t>сталним</w:t>
      </w:r>
      <w:r w:rsidRPr="00C479D3">
        <w:rPr>
          <w:rFonts w:ascii="Acumin Pro" w:hAnsi="Acumin Pro"/>
          <w:sz w:val="22"/>
          <w:szCs w:val="22"/>
          <w:lang w:val="sr"/>
        </w:rPr>
        <w:t xml:space="preserve"> </w:t>
      </w:r>
      <w:r w:rsidRPr="00C479D3">
        <w:rPr>
          <w:rFonts w:ascii="Acumin Pro" w:hAnsi="Acumin Pro" w:hint="eastAsia"/>
          <w:sz w:val="22"/>
          <w:szCs w:val="22"/>
          <w:lang w:val="sr"/>
        </w:rPr>
        <w:t>надзором</w:t>
      </w:r>
      <w:r w:rsidRPr="00C479D3">
        <w:rPr>
          <w:rFonts w:ascii="Acumin Pro" w:hAnsi="Acumin Pro"/>
          <w:sz w:val="22"/>
          <w:szCs w:val="22"/>
          <w:lang w:val="sr"/>
        </w:rPr>
        <w:t xml:space="preserve"> </w:t>
      </w:r>
      <w:r w:rsidRPr="00C479D3">
        <w:rPr>
          <w:rFonts w:ascii="Acumin Pro" w:hAnsi="Acumin Pro" w:hint="eastAsia"/>
          <w:sz w:val="22"/>
          <w:szCs w:val="22"/>
          <w:lang w:val="sr"/>
        </w:rPr>
        <w:t>приватног</w:t>
      </w:r>
      <w:r w:rsidRPr="00C479D3">
        <w:rPr>
          <w:rFonts w:ascii="Acumin Pro" w:hAnsi="Acumin Pro"/>
          <w:sz w:val="22"/>
          <w:szCs w:val="22"/>
          <w:lang w:val="sr"/>
        </w:rPr>
        <w:t xml:space="preserve"> </w:t>
      </w:r>
      <w:r w:rsidRPr="00C479D3">
        <w:rPr>
          <w:rFonts w:ascii="Acumin Pro" w:hAnsi="Acumin Pro" w:hint="eastAsia"/>
          <w:sz w:val="22"/>
          <w:szCs w:val="22"/>
          <w:lang w:val="sr"/>
        </w:rPr>
        <w:t>обезбеђења</w:t>
      </w:r>
      <w:r w:rsidRPr="00C479D3">
        <w:rPr>
          <w:rFonts w:ascii="Acumin Pro" w:hAnsi="Acumin Pro"/>
          <w:sz w:val="22"/>
          <w:szCs w:val="22"/>
          <w:lang w:val="sr"/>
        </w:rPr>
        <w:t xml:space="preserve"> </w:t>
      </w:r>
      <w:r w:rsidRPr="00C479D3">
        <w:rPr>
          <w:rFonts w:ascii="Acumin Pro" w:hAnsi="Acumin Pro" w:hint="eastAsia"/>
          <w:sz w:val="22"/>
          <w:szCs w:val="22"/>
          <w:lang w:val="sr"/>
        </w:rPr>
        <w:t>и</w:t>
      </w:r>
      <w:r w:rsidRPr="00C479D3">
        <w:rPr>
          <w:rFonts w:ascii="Acumin Pro" w:hAnsi="Acumin Pro"/>
          <w:sz w:val="22"/>
          <w:szCs w:val="22"/>
          <w:lang w:val="sr"/>
        </w:rPr>
        <w:t xml:space="preserve"> </w:t>
      </w:r>
      <w:r w:rsidRPr="00C479D3">
        <w:rPr>
          <w:rFonts w:ascii="Acumin Pro" w:hAnsi="Acumin Pro" w:hint="eastAsia"/>
          <w:sz w:val="22"/>
          <w:szCs w:val="22"/>
          <w:lang w:val="sr"/>
        </w:rPr>
        <w:t>под</w:t>
      </w:r>
      <w:r w:rsidRPr="00C479D3">
        <w:rPr>
          <w:rFonts w:ascii="Acumin Pro" w:hAnsi="Acumin Pro"/>
          <w:sz w:val="22"/>
          <w:szCs w:val="22"/>
          <w:lang w:val="sr"/>
        </w:rPr>
        <w:t xml:space="preserve"> </w:t>
      </w:r>
      <w:r w:rsidRPr="00C479D3">
        <w:rPr>
          <w:rFonts w:ascii="Acumin Pro" w:hAnsi="Acumin Pro" w:hint="eastAsia"/>
          <w:sz w:val="22"/>
          <w:szCs w:val="22"/>
          <w:lang w:val="sr"/>
        </w:rPr>
        <w:t>претњама</w:t>
      </w:r>
      <w:r w:rsidRPr="00C479D3">
        <w:rPr>
          <w:rFonts w:ascii="Acumin Pro" w:hAnsi="Acumin Pro"/>
          <w:sz w:val="22"/>
          <w:szCs w:val="22"/>
          <w:lang w:val="sr"/>
        </w:rPr>
        <w:t xml:space="preserve"> </w:t>
      </w:r>
      <w:r w:rsidRPr="00C479D3">
        <w:rPr>
          <w:rFonts w:ascii="Acumin Pro" w:hAnsi="Acumin Pro" w:hint="eastAsia"/>
          <w:sz w:val="22"/>
          <w:szCs w:val="22"/>
          <w:lang w:val="sr"/>
        </w:rPr>
        <w:t>послодаваца</w:t>
      </w:r>
      <w:r w:rsidRPr="00C479D3">
        <w:rPr>
          <w:rFonts w:ascii="Acumin Pro" w:hAnsi="Acumin Pro"/>
          <w:sz w:val="22"/>
          <w:szCs w:val="22"/>
          <w:lang w:val="sr"/>
        </w:rPr>
        <w:t>.</w:t>
      </w:r>
      <w:r w:rsidRPr="00C479D3">
        <w:rPr>
          <w:rStyle w:val="FootnoteReference"/>
          <w:rFonts w:ascii="Acumin Pro" w:hAnsi="Acumin Pro"/>
          <w:sz w:val="22"/>
          <w:szCs w:val="22"/>
          <w:lang w:val="sr"/>
        </w:rPr>
        <w:footnoteReference w:id="34"/>
      </w:r>
      <w:r w:rsidRPr="00C479D3">
        <w:rPr>
          <w:rFonts w:ascii="Acumin Pro" w:hAnsi="Acumin Pro"/>
          <w:sz w:val="22"/>
          <w:szCs w:val="22"/>
          <w:lang w:val="sr"/>
        </w:rPr>
        <w:t xml:space="preserve">  </w:t>
      </w:r>
    </w:p>
    <w:p w14:paraId="51CAF638" w14:textId="77777777" w:rsidR="00862E6F" w:rsidRDefault="008B1005" w:rsidP="00E60859">
      <w:pPr>
        <w:pStyle w:val="NormalWeb"/>
        <w:numPr>
          <w:ilvl w:val="0"/>
          <w:numId w:val="19"/>
        </w:numPr>
        <w:spacing w:before="0" w:beforeAutospacing="0" w:after="0" w:afterAutospacing="0"/>
        <w:ind w:left="-426" w:right="-613"/>
        <w:jc w:val="both"/>
        <w:rPr>
          <w:rFonts w:ascii="Acumin Pro" w:hAnsi="Acumin Pro" w:cs="Arial"/>
          <w:color w:val="000000"/>
          <w:sz w:val="22"/>
          <w:szCs w:val="22"/>
        </w:rPr>
      </w:pPr>
      <w:r>
        <w:rPr>
          <w:rFonts w:ascii="Acumin Pro" w:hAnsi="Acumin Pro" w:cs="Arial"/>
          <w:color w:val="000000"/>
          <w:sz w:val="22"/>
          <w:szCs w:val="22"/>
          <w:lang w:val="sr"/>
        </w:rPr>
        <w:lastRenderedPageBreak/>
        <w:t>Важно је напоменути да су различити владини званичници навели да је ова компанија (</w:t>
      </w:r>
      <w:r>
        <w:rPr>
          <w:rFonts w:ascii="Acumin Pro" w:hAnsi="Acumin Pro" w:cs="Arial"/>
          <w:i/>
          <w:iCs/>
          <w:color w:val="000000"/>
          <w:sz w:val="22"/>
          <w:szCs w:val="22"/>
          <w:lang w:val="sr"/>
        </w:rPr>
        <w:t>Linglong International Europe</w:t>
      </w:r>
      <w:r>
        <w:rPr>
          <w:rFonts w:ascii="Acumin Pro" w:hAnsi="Acumin Pro" w:cs="Arial"/>
          <w:color w:val="000000"/>
          <w:sz w:val="22"/>
          <w:szCs w:val="22"/>
          <w:lang w:val="sr"/>
        </w:rPr>
        <w:t>, доо.) један од највећих инвеститора у земљи, и иако су докази о радној експлоатацији објављени, постојао је снажан притисак да се прикажу као небитни.</w:t>
      </w:r>
      <w:r w:rsidRPr="00C479D3">
        <w:rPr>
          <w:rStyle w:val="FootnoteReference"/>
          <w:rFonts w:ascii="Acumin Pro" w:hAnsi="Acumin Pro"/>
          <w:sz w:val="22"/>
          <w:szCs w:val="22"/>
        </w:rPr>
        <w:footnoteReference w:id="35"/>
      </w:r>
      <w:r>
        <w:rPr>
          <w:rFonts w:ascii="Acumin Pro" w:hAnsi="Acumin Pro" w:cs="Arial"/>
          <w:color w:val="000000"/>
          <w:sz w:val="22"/>
          <w:szCs w:val="22"/>
          <w:lang w:val="sr"/>
        </w:rPr>
        <w:t xml:space="preserve"> Коначно, наведено је да је од почетка изградње ова компанија 18 пута контролисана од стране инспекција из надлежности Министарства за рад, запошљавање, борачка и социјална питања</w:t>
      </w:r>
      <w:r w:rsidRPr="00C479D3">
        <w:rPr>
          <w:rStyle w:val="FootnoteReference"/>
          <w:rFonts w:ascii="Acumin Pro" w:hAnsi="Acumin Pro"/>
          <w:sz w:val="22"/>
          <w:szCs w:val="22"/>
        </w:rPr>
        <w:footnoteReference w:id="36"/>
      </w:r>
      <w:r>
        <w:rPr>
          <w:rFonts w:ascii="Acumin Pro" w:hAnsi="Acumin Pro" w:cs="Arial"/>
          <w:color w:val="000000"/>
          <w:sz w:val="22"/>
          <w:szCs w:val="22"/>
          <w:lang w:val="sr"/>
        </w:rPr>
        <w:t xml:space="preserve"> и „више од 50 пута” од стране инспекција из надлежности Министарства грађевинарства, саобраћаја и инфраструктуре.</w:t>
      </w:r>
      <w:r w:rsidRPr="00C479D3">
        <w:rPr>
          <w:rStyle w:val="FootnoteReference"/>
          <w:rFonts w:ascii="Acumin Pro" w:hAnsi="Acumin Pro"/>
          <w:sz w:val="22"/>
          <w:szCs w:val="22"/>
        </w:rPr>
        <w:footnoteReference w:id="37"/>
      </w:r>
      <w:r>
        <w:rPr>
          <w:rFonts w:ascii="Acumin Pro" w:hAnsi="Acumin Pro" w:cs="Arial"/>
          <w:color w:val="000000"/>
          <w:sz w:val="22"/>
          <w:szCs w:val="22"/>
          <w:lang w:val="sr"/>
        </w:rPr>
        <w:t xml:space="preserve"> Међутим, ниједан од</w:t>
      </w:r>
      <w:r>
        <w:rPr>
          <w:rFonts w:cs="Arial"/>
          <w:color w:val="000000"/>
          <w:sz w:val="22"/>
          <w:szCs w:val="22"/>
          <w:lang w:val="sr"/>
        </w:rPr>
        <w:t xml:space="preserve"> </w:t>
      </w:r>
      <w:r>
        <w:rPr>
          <w:rFonts w:ascii="Acumin Pro" w:hAnsi="Acumin Pro" w:cs="Arial"/>
          <w:color w:val="000000"/>
          <w:sz w:val="22"/>
          <w:szCs w:val="22"/>
          <w:lang w:val="sr"/>
        </w:rPr>
        <w:t>извештаја из ових инспекцијских надзора није објављен, чак ни након што су захтеви за приступ информацијама од јавног значаја достављени надлежним министарствима.</w:t>
      </w:r>
      <w:r w:rsidRPr="00C479D3">
        <w:rPr>
          <w:rStyle w:val="FootnoteReference"/>
          <w:rFonts w:ascii="Acumin Pro" w:hAnsi="Acumin Pro"/>
          <w:sz w:val="22"/>
          <w:szCs w:val="22"/>
        </w:rPr>
        <w:footnoteReference w:id="38"/>
      </w:r>
      <w:r>
        <w:rPr>
          <w:rFonts w:ascii="Acumin Pro" w:hAnsi="Acumin Pro" w:cs="Arial"/>
          <w:color w:val="000000"/>
          <w:sz w:val="22"/>
          <w:szCs w:val="22"/>
          <w:lang w:val="sr"/>
        </w:rPr>
        <w:t xml:space="preserve"> </w:t>
      </w:r>
    </w:p>
    <w:p w14:paraId="7254AA57" w14:textId="49BE60EE" w:rsidR="004A0D50" w:rsidRDefault="00D12406" w:rsidP="00E60859">
      <w:pPr>
        <w:pStyle w:val="NormalWeb"/>
        <w:numPr>
          <w:ilvl w:val="0"/>
          <w:numId w:val="19"/>
        </w:numPr>
        <w:spacing w:before="0" w:beforeAutospacing="0" w:after="0" w:afterAutospacing="0"/>
        <w:ind w:left="-426" w:right="-613"/>
        <w:jc w:val="both"/>
        <w:rPr>
          <w:rFonts w:ascii="Acumin Pro" w:hAnsi="Acumin Pro" w:cs="Arial"/>
          <w:color w:val="000000"/>
          <w:sz w:val="22"/>
          <w:szCs w:val="22"/>
        </w:rPr>
      </w:pPr>
      <w:r>
        <w:rPr>
          <w:rFonts w:ascii="Acumin Pro" w:hAnsi="Acumin Pro" w:cs="Arial"/>
          <w:color w:val="000000"/>
          <w:sz w:val="22"/>
          <w:szCs w:val="22"/>
          <w:lang w:val="sr"/>
        </w:rPr>
        <w:t>Иницијатива А 11 је у децембру поднела кривичне пријаве против одговорних лица у правним лицима у вези са ангажовањем и радом 400 вијетнамских радника, због основане сумње да су починили кривичн</w:t>
      </w:r>
      <w:r w:rsidR="0069213C">
        <w:rPr>
          <w:rFonts w:ascii="Calibri" w:hAnsi="Calibri" w:cs="Calibri"/>
          <w:color w:val="000000"/>
          <w:sz w:val="22"/>
          <w:szCs w:val="22"/>
          <w:lang w:val="sr-Cyrl-RS"/>
        </w:rPr>
        <w:t>а</w:t>
      </w:r>
      <w:r>
        <w:rPr>
          <w:rFonts w:ascii="Acumin Pro" w:hAnsi="Acumin Pro" w:cs="Arial"/>
          <w:color w:val="000000"/>
          <w:sz w:val="22"/>
          <w:szCs w:val="22"/>
          <w:lang w:val="sr"/>
        </w:rPr>
        <w:t xml:space="preserve"> дел</w:t>
      </w:r>
      <w:r w:rsidR="0069213C">
        <w:rPr>
          <w:rFonts w:ascii="Calibri" w:hAnsi="Calibri" w:cs="Calibri"/>
          <w:color w:val="000000"/>
          <w:sz w:val="22"/>
          <w:szCs w:val="22"/>
          <w:lang w:val="sr-Cyrl-RS"/>
        </w:rPr>
        <w:t>а</w:t>
      </w:r>
      <w:r>
        <w:rPr>
          <w:rFonts w:ascii="Acumin Pro" w:hAnsi="Acumin Pro" w:cs="Arial"/>
          <w:color w:val="000000"/>
          <w:sz w:val="22"/>
          <w:szCs w:val="22"/>
          <w:lang w:val="sr"/>
        </w:rPr>
        <w:t xml:space="preserve">, односно повреду права на штрајк и </w:t>
      </w:r>
      <w:r w:rsidR="0069213C">
        <w:rPr>
          <w:rFonts w:ascii="Calibri" w:hAnsi="Calibri" w:cs="Calibri"/>
          <w:color w:val="000000"/>
          <w:sz w:val="22"/>
          <w:szCs w:val="22"/>
          <w:lang w:val="sr-Cyrl-RS"/>
        </w:rPr>
        <w:t>противправно</w:t>
      </w:r>
      <w:r w:rsidR="0069213C">
        <w:rPr>
          <w:rFonts w:ascii="Acumin Pro" w:hAnsi="Acumin Pro" w:cs="Arial"/>
          <w:color w:val="000000"/>
          <w:sz w:val="22"/>
          <w:szCs w:val="22"/>
          <w:lang w:val="sr"/>
        </w:rPr>
        <w:t xml:space="preserve"> </w:t>
      </w:r>
      <w:r>
        <w:rPr>
          <w:rFonts w:ascii="Acumin Pro" w:hAnsi="Acumin Pro" w:cs="Arial"/>
          <w:color w:val="000000"/>
          <w:sz w:val="22"/>
          <w:szCs w:val="22"/>
          <w:lang w:val="sr"/>
        </w:rPr>
        <w:t>лишење слободе. Европски парламент је 16. децембра 2021. усвојио Резолуцију о принудном раду у фабрици Линглонг.</w:t>
      </w:r>
      <w:r>
        <w:rPr>
          <w:rStyle w:val="FootnoteReference"/>
          <w:rFonts w:ascii="Acumin Pro" w:hAnsi="Acumin Pro" w:cs="Arial"/>
          <w:color w:val="000000"/>
          <w:sz w:val="22"/>
          <w:szCs w:val="22"/>
          <w:lang w:val="sr"/>
        </w:rPr>
        <w:footnoteReference w:id="39"/>
      </w:r>
      <w:r>
        <w:rPr>
          <w:rFonts w:ascii="Acumin Pro" w:hAnsi="Acumin Pro" w:cs="Arial"/>
          <w:color w:val="000000"/>
          <w:sz w:val="22"/>
          <w:szCs w:val="22"/>
          <w:lang w:val="sr"/>
        </w:rPr>
        <w:t xml:space="preserve"> Надлежни још увек не пружају социјалну и било коју другу заштиту овим радницима, потенцијалним жртвама трговине људима и радне експлоатације, а они и даље раде у компанији, док најмање 30 радника који желе да се врате кући то не могу учинити, јер им компанија не дозвољава да оду. </w:t>
      </w:r>
    </w:p>
    <w:p w14:paraId="3517D04E" w14:textId="43B223BF" w:rsidR="00626257" w:rsidRDefault="00D12406" w:rsidP="00E60859">
      <w:pPr>
        <w:pStyle w:val="NormalWeb"/>
        <w:numPr>
          <w:ilvl w:val="0"/>
          <w:numId w:val="19"/>
        </w:numPr>
        <w:spacing w:before="0" w:beforeAutospacing="0" w:after="0" w:afterAutospacing="0"/>
        <w:ind w:left="-426" w:right="-613"/>
        <w:jc w:val="both"/>
        <w:rPr>
          <w:rFonts w:ascii="Acumin Pro" w:hAnsi="Acumin Pro" w:cs="Arial"/>
          <w:color w:val="000000"/>
          <w:sz w:val="22"/>
          <w:szCs w:val="22"/>
        </w:rPr>
      </w:pPr>
      <w:r>
        <w:rPr>
          <w:rFonts w:ascii="Acumin Pro" w:hAnsi="Acumin Pro" w:cs="Arial"/>
          <w:color w:val="000000"/>
          <w:sz w:val="22"/>
          <w:szCs w:val="22"/>
          <w:lang w:val="sr"/>
        </w:rPr>
        <w:t xml:space="preserve">Својим реакцијама, власт је у овој ситуацији експлицитно прекршила низ одредби Међународног пакта о економским, социјалним и културним правима, као што су: право на правичне и повољне услове рада; право на оснивање синдиката; право на штрајк; право на социјалну </w:t>
      </w:r>
      <w:r w:rsidR="0069213C">
        <w:rPr>
          <w:rFonts w:ascii="Calibri" w:hAnsi="Calibri" w:cs="Calibri"/>
          <w:color w:val="000000"/>
          <w:sz w:val="22"/>
          <w:szCs w:val="22"/>
          <w:lang w:val="sr-Cyrl-RS"/>
        </w:rPr>
        <w:t>заштиту</w:t>
      </w:r>
      <w:r>
        <w:rPr>
          <w:rFonts w:ascii="Acumin Pro" w:hAnsi="Acumin Pro" w:cs="Arial"/>
          <w:color w:val="000000"/>
          <w:sz w:val="22"/>
          <w:szCs w:val="22"/>
          <w:lang w:val="sr"/>
        </w:rPr>
        <w:t>, укључујући социјално осигурање; право на адекватан животни стандард; право на заштиту од глади; право на највиши достижни стандард физичког и менталног здравља, и показала да постоји недостатак капацитета за суочавање са случајевима радне експлоатације</w:t>
      </w:r>
      <w:r w:rsidR="0069213C">
        <w:rPr>
          <w:rFonts w:asciiTheme="minorHAnsi" w:hAnsiTheme="minorHAnsi" w:cs="Arial"/>
          <w:color w:val="000000"/>
          <w:sz w:val="22"/>
          <w:szCs w:val="22"/>
          <w:lang w:val="sr-Cyrl-RS"/>
        </w:rPr>
        <w:t xml:space="preserve"> високог профила</w:t>
      </w:r>
      <w:r>
        <w:rPr>
          <w:rFonts w:ascii="Acumin Pro" w:hAnsi="Acumin Pro" w:cs="Arial"/>
          <w:color w:val="000000"/>
          <w:sz w:val="22"/>
          <w:szCs w:val="22"/>
          <w:lang w:val="sr"/>
        </w:rPr>
        <w:t xml:space="preserve">. </w:t>
      </w:r>
    </w:p>
    <w:p w14:paraId="6D9F0E2F" w14:textId="77777777" w:rsidR="004A0D50" w:rsidRPr="004A0D50" w:rsidRDefault="004A0D50" w:rsidP="00E60859">
      <w:pPr>
        <w:pStyle w:val="NormalWeb"/>
        <w:spacing w:before="0" w:beforeAutospacing="0" w:after="0" w:afterAutospacing="0"/>
        <w:ind w:left="-426" w:right="-613"/>
        <w:jc w:val="both"/>
        <w:rPr>
          <w:rFonts w:ascii="Acumin Pro" w:hAnsi="Acumin Pro" w:cs="Arial"/>
          <w:color w:val="000000"/>
          <w:sz w:val="22"/>
          <w:szCs w:val="22"/>
        </w:rPr>
      </w:pPr>
    </w:p>
    <w:p w14:paraId="09F016B7" w14:textId="77777777" w:rsidR="00626257" w:rsidRPr="00466497" w:rsidRDefault="00626257" w:rsidP="00E60859">
      <w:pPr>
        <w:pStyle w:val="Heading3"/>
        <w:ind w:left="-426" w:right="-613"/>
        <w:rPr>
          <w:rFonts w:ascii="Acumin Pro" w:hAnsi="Acumin Pro"/>
          <w:b/>
          <w:bCs/>
          <w:color w:val="auto"/>
        </w:rPr>
      </w:pPr>
      <w:bookmarkStart w:id="11" w:name="_Toc93918925"/>
      <w:r>
        <w:rPr>
          <w:rFonts w:ascii="Acumin Pro" w:hAnsi="Acumin Pro"/>
          <w:b/>
          <w:bCs/>
          <w:color w:val="auto"/>
          <w:lang w:val="sr"/>
        </w:rPr>
        <w:t>Запошљавање младих</w:t>
      </w:r>
      <w:bookmarkEnd w:id="11"/>
      <w:r>
        <w:rPr>
          <w:rFonts w:ascii="Acumin Pro" w:hAnsi="Acumin Pro"/>
          <w:color w:val="auto"/>
          <w:lang w:val="sr"/>
        </w:rPr>
        <w:t xml:space="preserve"> </w:t>
      </w:r>
    </w:p>
    <w:p w14:paraId="5AA424D9" w14:textId="77777777" w:rsidR="00BC42BC" w:rsidRPr="0011058D" w:rsidRDefault="002572F6" w:rsidP="00E60859">
      <w:pPr>
        <w:pStyle w:val="ListParagraph"/>
        <w:numPr>
          <w:ilvl w:val="0"/>
          <w:numId w:val="19"/>
        </w:numPr>
        <w:ind w:left="-426" w:right="-613"/>
        <w:jc w:val="both"/>
        <w:rPr>
          <w:rFonts w:ascii="Acumin Pro" w:hAnsi="Acumin Pro" w:cs="Times New Roman"/>
          <w:szCs w:val="24"/>
        </w:rPr>
      </w:pPr>
      <w:r>
        <w:rPr>
          <w:rFonts w:ascii="Acumin Pro" w:hAnsi="Acumin Pro" w:cs="Times New Roman"/>
          <w:szCs w:val="24"/>
          <w:lang w:val="sr"/>
        </w:rPr>
        <w:t>У Србији постоји висока стопа незапослености младих</w:t>
      </w:r>
      <w:r>
        <w:rPr>
          <w:rStyle w:val="FootnoteReference"/>
          <w:rFonts w:ascii="Acumin Pro" w:hAnsi="Acumin Pro" w:cs="Times New Roman"/>
          <w:szCs w:val="24"/>
          <w:lang w:val="sr"/>
        </w:rPr>
        <w:footnoteReference w:id="40"/>
      </w:r>
      <w:r>
        <w:rPr>
          <w:rFonts w:ascii="Acumin Pro" w:hAnsi="Acumin Pro" w:cs="Times New Roman"/>
          <w:szCs w:val="24"/>
          <w:lang w:val="sr"/>
        </w:rPr>
        <w:t xml:space="preserve"> и запошљавање младих је условљено низом изазова – од несигурних послова, преко неплаћеног прековременог рада, ниских плата итд. У циљу унапређења запошљавања младих, Влада Србије је увела програм „Моја прва плата”, који појединцима млађим од 30 година пружа могућност да се запосле и стекну вештине и искуства неопходна за њихово будуће запошљавање на тржишту рада.</w:t>
      </w:r>
      <w:r>
        <w:rPr>
          <w:rStyle w:val="FootnoteReference"/>
          <w:rFonts w:ascii="Acumin Pro" w:hAnsi="Acumin Pro" w:cs="Times New Roman"/>
          <w:szCs w:val="24"/>
          <w:lang w:val="sr"/>
        </w:rPr>
        <w:footnoteReference w:id="41"/>
      </w:r>
      <w:r>
        <w:rPr>
          <w:rFonts w:ascii="Acumin Pro" w:hAnsi="Acumin Pro" w:cs="Times New Roman"/>
          <w:szCs w:val="24"/>
          <w:lang w:val="sr"/>
        </w:rPr>
        <w:t xml:space="preserve"> Програм спроводи Национална служба за запошљавање, али му недостају основне гаранције за заштиту права на рад младих запослених. Програмом је, на пример, предвиђено да се младима запосленима плаћа за рад од 20.000 до 24.000 динара (170 – 203 евра), што је знатно ниже од минималне зараде у земљи. Такође, још увек је нејасно да ли појединци укључени у овај програм имају пуну здравствену и социјалну заштиту или само ограничену здравствену заштиту, како је програмом прописано. </w:t>
      </w:r>
    </w:p>
    <w:p w14:paraId="662685C7" w14:textId="77777777" w:rsidR="004A0D50" w:rsidRPr="00D7678F" w:rsidRDefault="0011058D" w:rsidP="00D7678F">
      <w:pPr>
        <w:pStyle w:val="ListParagraph"/>
        <w:numPr>
          <w:ilvl w:val="0"/>
          <w:numId w:val="19"/>
        </w:numPr>
        <w:ind w:left="-426" w:right="-613"/>
        <w:jc w:val="both"/>
        <w:rPr>
          <w:rFonts w:ascii="Acumin Pro" w:hAnsi="Acumin Pro" w:cs="Times New Roman"/>
        </w:rPr>
      </w:pPr>
      <w:r>
        <w:rPr>
          <w:rFonts w:ascii="Acumin Pro" w:hAnsi="Acumin Pro" w:cs="Times New Roman"/>
          <w:lang w:val="sr"/>
        </w:rPr>
        <w:lastRenderedPageBreak/>
        <w:t>Анализа и статистички подаци које су прикупиле ОЦД и државне институције</w:t>
      </w:r>
      <w:r>
        <w:rPr>
          <w:rStyle w:val="FootnoteReference"/>
          <w:rFonts w:ascii="Acumin Pro" w:hAnsi="Acumin Pro" w:cs="Times New Roman"/>
          <w:lang w:val="sr"/>
        </w:rPr>
        <w:footnoteReference w:id="42"/>
      </w:r>
      <w:r>
        <w:rPr>
          <w:rFonts w:ascii="Acumin Pro" w:hAnsi="Acumin Pro" w:cs="Times New Roman"/>
          <w:lang w:val="sr"/>
        </w:rPr>
        <w:t xml:space="preserve"> потврђују да су млади посебно рањива група на тржишту рада. Младе жене, а посебно младе жене са села и жене које долазе из националних мањина представљају популацију која се тешко запошљава. Званични подаци Националне службе за запошљавање и Републичког завода за статистику за период 2018–2021 показују да је број запослених међу младом популацијом смањен за 6%. Пример Града Зрењанина и статистике филијале Националне службе за запошљавање у овом граду показују да је већина незапослених лица без квалификација. Једна четвртина незапослених су корисници новчане социјалне помоћи, а свако шесто незапослено лице припада ромској националној мањини.</w:t>
      </w:r>
      <w:r>
        <w:rPr>
          <w:rStyle w:val="FootnoteReference"/>
          <w:rFonts w:ascii="Acumin Pro" w:hAnsi="Acumin Pro" w:cs="Times New Roman"/>
          <w:lang w:val="sr"/>
        </w:rPr>
        <w:footnoteReference w:id="43"/>
      </w:r>
    </w:p>
    <w:p w14:paraId="6EE7012D" w14:textId="77777777" w:rsidR="00626257" w:rsidRDefault="00466497" w:rsidP="00E60859">
      <w:pPr>
        <w:pStyle w:val="Heading2"/>
        <w:ind w:left="-426" w:right="-613"/>
        <w:rPr>
          <w:rFonts w:ascii="Acumin Pro" w:hAnsi="Acumin Pro"/>
          <w:b/>
          <w:bCs/>
          <w:color w:val="auto"/>
        </w:rPr>
      </w:pPr>
      <w:bookmarkStart w:id="12" w:name="_Toc93918926"/>
      <w:r>
        <w:rPr>
          <w:rFonts w:ascii="Acumin Pro" w:hAnsi="Acumin Pro"/>
          <w:b/>
          <w:bCs/>
          <w:color w:val="auto"/>
          <w:lang w:val="sr"/>
        </w:rPr>
        <w:t>ЧЛАН 7 – ПРАВИЧНИ И ПОВОЉНИ УСЛОВИ РАДА</w:t>
      </w:r>
      <w:bookmarkEnd w:id="12"/>
      <w:r>
        <w:rPr>
          <w:rFonts w:ascii="Acumin Pro" w:hAnsi="Acumin Pro"/>
          <w:b/>
          <w:bCs/>
          <w:color w:val="auto"/>
          <w:lang w:val="sr"/>
        </w:rPr>
        <w:t xml:space="preserve"> </w:t>
      </w:r>
    </w:p>
    <w:p w14:paraId="2F250C0B" w14:textId="77777777" w:rsidR="00466497" w:rsidRPr="00466497" w:rsidRDefault="00466497" w:rsidP="00E60859">
      <w:pPr>
        <w:ind w:left="-426" w:right="-613"/>
      </w:pPr>
    </w:p>
    <w:p w14:paraId="3B4BBCAA" w14:textId="77777777" w:rsidR="00D50776" w:rsidRPr="008129D5" w:rsidRDefault="00466497" w:rsidP="00E60859">
      <w:pPr>
        <w:pStyle w:val="Heading3"/>
        <w:ind w:left="-426" w:right="-613"/>
        <w:rPr>
          <w:rFonts w:ascii="Acumin Pro" w:hAnsi="Acumin Pro"/>
          <w:b/>
          <w:bCs/>
          <w:color w:val="auto"/>
        </w:rPr>
      </w:pPr>
      <w:bookmarkStart w:id="13" w:name="_Toc93918927"/>
      <w:r>
        <w:rPr>
          <w:rFonts w:ascii="Acumin Pro" w:hAnsi="Acumin Pro"/>
          <w:b/>
          <w:bCs/>
          <w:color w:val="auto"/>
          <w:lang w:val="sr"/>
        </w:rPr>
        <w:t>Минимална зарада</w:t>
      </w:r>
      <w:bookmarkEnd w:id="13"/>
      <w:r>
        <w:rPr>
          <w:rFonts w:ascii="Acumin Pro" w:hAnsi="Acumin Pro"/>
          <w:color w:val="auto"/>
          <w:lang w:val="sr"/>
        </w:rPr>
        <w:t xml:space="preserve"> </w:t>
      </w:r>
    </w:p>
    <w:p w14:paraId="6391A836" w14:textId="696C2BC2" w:rsidR="005C4278" w:rsidRPr="004A0D50" w:rsidRDefault="00D50776" w:rsidP="00E60859">
      <w:pPr>
        <w:pStyle w:val="ListParagraph"/>
        <w:numPr>
          <w:ilvl w:val="0"/>
          <w:numId w:val="19"/>
        </w:numPr>
        <w:ind w:left="-426" w:right="-613"/>
        <w:jc w:val="both"/>
        <w:rPr>
          <w:rFonts w:ascii="Acumin Pro" w:hAnsi="Acumin Pro" w:cs="Open Sans"/>
          <w:color w:val="333333"/>
          <w:shd w:val="clear" w:color="auto" w:fill="FFFFFF"/>
        </w:rPr>
      </w:pPr>
      <w:r>
        <w:rPr>
          <w:rFonts w:ascii="Acumin Pro" w:hAnsi="Acumin Pro"/>
          <w:lang w:val="sr"/>
        </w:rPr>
        <w:t>Минимална зарада у Републици Србији регулисана је члановима 111 – 113 Закона о раду</w:t>
      </w:r>
      <w:r>
        <w:rPr>
          <w:rStyle w:val="FootnoteReference"/>
          <w:rFonts w:ascii="Acumin Pro" w:hAnsi="Acumin Pro"/>
          <w:lang w:val="sr"/>
        </w:rPr>
        <w:footnoteReference w:id="44"/>
      </w:r>
      <w:r>
        <w:rPr>
          <w:rFonts w:ascii="Acumin Pro" w:hAnsi="Acumin Pro"/>
          <w:lang w:val="sr"/>
        </w:rPr>
        <w:t xml:space="preserve">, а утврђује се на основу минималне цене рада, времена проведеног на раду и пореза и доприноса који се плаћају из зараде. Минимална цена рада утврђује се одлуком </w:t>
      </w:r>
      <w:r w:rsidR="0069213C">
        <w:rPr>
          <w:rFonts w:ascii="Calibri" w:hAnsi="Calibri" w:cs="Calibri"/>
          <w:lang w:val="sr-Cyrl-RS"/>
        </w:rPr>
        <w:t>С</w:t>
      </w:r>
      <w:r>
        <w:rPr>
          <w:rFonts w:ascii="Acumin Pro" w:hAnsi="Acumin Pro"/>
          <w:lang w:val="sr"/>
        </w:rPr>
        <w:t xml:space="preserve">оцијално-економског савета Републике Србије, а у случајевима када </w:t>
      </w:r>
      <w:r w:rsidR="0069213C">
        <w:rPr>
          <w:rFonts w:ascii="Calibri" w:hAnsi="Calibri" w:cs="Calibri"/>
          <w:lang w:val="sr-Cyrl-RS"/>
        </w:rPr>
        <w:t>С</w:t>
      </w:r>
      <w:r>
        <w:rPr>
          <w:rFonts w:ascii="Acumin Pro" w:hAnsi="Acumin Pro"/>
          <w:lang w:val="sr"/>
        </w:rPr>
        <w:t xml:space="preserve">оцијално-економски савет не донесе одлуку у року од 15 дана од дана почетка преговора, одлуку о износу минималне цене рада доноси Влада Републике Србије. Ово је редовно случај, минимална зарада се не утврђује у трипартитном дијалогу, већ је утврђује Влада Републике Србије. Критеријуми за одређивање </w:t>
      </w:r>
      <w:r>
        <w:rPr>
          <w:rFonts w:ascii="Acumin Pro" w:hAnsi="Acumin Pro"/>
          <w:color w:val="333333"/>
          <w:shd w:val="clear" w:color="auto" w:fill="FFFFFF"/>
          <w:lang w:val="sr"/>
        </w:rPr>
        <w:t xml:space="preserve">минималне цене рада нису довољно јасни, а подразумевају: егзистенцијалне и социјалне потребе запосленог и његове породице изражене кроз вредност минималне потрошачке корпе, кретање стопе запослености на тржишту рада, стопе раста бруто домаћег производа, кретања потрошачких цена, кретања продуктивности и кретања просечне зараде у Републици. </w:t>
      </w:r>
    </w:p>
    <w:p w14:paraId="65EF1361" w14:textId="6A1C67AE" w:rsidR="00D7678F" w:rsidRPr="00D34061" w:rsidRDefault="005136D2" w:rsidP="00D34061">
      <w:pPr>
        <w:pStyle w:val="ListParagraph"/>
        <w:numPr>
          <w:ilvl w:val="0"/>
          <w:numId w:val="19"/>
        </w:numPr>
        <w:ind w:left="-426" w:right="-613"/>
        <w:jc w:val="both"/>
        <w:rPr>
          <w:rFonts w:ascii="Acumin Pro" w:hAnsi="Acumin Pro" w:cs="Calibri"/>
        </w:rPr>
      </w:pPr>
      <w:r>
        <w:rPr>
          <w:rFonts w:ascii="Acumin Pro" w:hAnsi="Acumin Pro"/>
          <w:color w:val="333333"/>
          <w:shd w:val="clear" w:color="auto" w:fill="FFFFFF"/>
          <w:lang w:val="sr"/>
        </w:rPr>
        <w:t xml:space="preserve">Умесно је констатовати да минимална зарада не достиже праг за </w:t>
      </w:r>
      <w:r w:rsidR="0069213C">
        <w:rPr>
          <w:rFonts w:ascii="Calibri" w:hAnsi="Calibri" w:cs="Calibri"/>
          <w:color w:val="333333"/>
          <w:shd w:val="clear" w:color="auto" w:fill="FFFFFF"/>
          <w:lang w:val="sr-Cyrl-RS"/>
        </w:rPr>
        <w:t>задовољавајући</w:t>
      </w:r>
      <w:r w:rsidR="0069213C">
        <w:rPr>
          <w:rFonts w:ascii="Acumin Pro" w:hAnsi="Acumin Pro"/>
          <w:color w:val="333333"/>
          <w:shd w:val="clear" w:color="auto" w:fill="FFFFFF"/>
          <w:lang w:val="sr"/>
        </w:rPr>
        <w:t xml:space="preserve"> </w:t>
      </w:r>
      <w:r>
        <w:rPr>
          <w:rFonts w:ascii="Acumin Pro" w:hAnsi="Acumin Pro"/>
          <w:color w:val="333333"/>
          <w:shd w:val="clear" w:color="auto" w:fill="FFFFFF"/>
          <w:lang w:val="sr"/>
        </w:rPr>
        <w:t xml:space="preserve">животни стандард у Србији. Минимална потрошачка корпа је </w:t>
      </w:r>
      <w:r>
        <w:rPr>
          <w:rFonts w:ascii="Acumin Pro" w:hAnsi="Acumin Pro"/>
          <w:lang w:val="sr"/>
        </w:rPr>
        <w:t>најважнији статистички репер који у пракси илуструје износ новца неопходан за одржавање животног и радног капацитета чланова једног домаћинства</w:t>
      </w:r>
      <w:r>
        <w:rPr>
          <w:rFonts w:ascii="Acumin Pro" w:hAnsi="Acumin Pro"/>
          <w:color w:val="333333"/>
          <w:shd w:val="clear" w:color="auto" w:fill="FFFFFF"/>
          <w:lang w:val="sr"/>
        </w:rPr>
        <w:t>.</w:t>
      </w:r>
      <w:r w:rsidR="0069213C">
        <w:rPr>
          <w:color w:val="333333"/>
          <w:shd w:val="clear" w:color="auto" w:fill="FFFFFF"/>
          <w:lang w:val="sr-Cyrl-RS"/>
        </w:rPr>
        <w:t xml:space="preserve"> </w:t>
      </w:r>
      <w:r>
        <w:rPr>
          <w:rFonts w:ascii="Acumin Pro" w:hAnsi="Acumin Pro"/>
          <w:lang w:val="sr"/>
        </w:rPr>
        <w:t>Међутим, вредност минималне потрошачке корпе, која се користи за одређивање минималне цене рада, није вредност у тренутку преговора, већ последња вредност коју је пријавио Републички завод за статистику.</w:t>
      </w:r>
      <w:r>
        <w:rPr>
          <w:rStyle w:val="FootnoteReference"/>
          <w:rFonts w:ascii="Acumin Pro" w:hAnsi="Acumin Pro"/>
          <w:lang w:val="sr"/>
        </w:rPr>
        <w:footnoteReference w:id="45"/>
      </w:r>
      <w:r>
        <w:rPr>
          <w:rFonts w:ascii="Acumin Pro" w:hAnsi="Acumin Pro"/>
          <w:lang w:val="sr"/>
        </w:rPr>
        <w:t xml:space="preserve"> Просечна минимална зарада (на основу просечног броја радних сати месечно) од 35.012 динара </w:t>
      </w:r>
      <w:r w:rsidR="0069213C">
        <w:rPr>
          <w:rFonts w:ascii="Calibri" w:hAnsi="Calibri" w:cs="Calibri"/>
          <w:lang w:val="sr"/>
        </w:rPr>
        <w:t>тренутно</w:t>
      </w:r>
      <w:r w:rsidR="0069213C">
        <w:rPr>
          <w:rFonts w:ascii="Acumin Pro" w:hAnsi="Acumin Pro"/>
          <w:lang w:val="sr"/>
        </w:rPr>
        <w:t xml:space="preserve"> </w:t>
      </w:r>
      <w:r>
        <w:rPr>
          <w:rFonts w:ascii="Acumin Pro" w:hAnsi="Acumin Pro"/>
          <w:lang w:val="sr"/>
        </w:rPr>
        <w:t xml:space="preserve">покрива само 85,9% минималне потрошачке корпе. </w:t>
      </w:r>
      <w:r>
        <w:rPr>
          <w:rFonts w:ascii="Acumin Pro" w:hAnsi="Acumin Pro"/>
          <w:lang w:val="sr"/>
        </w:rPr>
        <w:br w:type="page"/>
      </w:r>
    </w:p>
    <w:p w14:paraId="1FC7626E" w14:textId="77777777" w:rsidR="005C4278" w:rsidRPr="002769DB" w:rsidRDefault="002769DB" w:rsidP="00E60859">
      <w:pPr>
        <w:ind w:left="-426" w:right="-613"/>
        <w:rPr>
          <w:rFonts w:ascii="Acumin Pro" w:hAnsi="Acumin Pro" w:cs="Arial"/>
          <w:b/>
          <w:bCs/>
        </w:rPr>
      </w:pPr>
      <w:r>
        <w:rPr>
          <w:rFonts w:ascii="Acumin Pro" w:hAnsi="Acumin Pro" w:cs="Arial"/>
          <w:b/>
          <w:bCs/>
          <w:lang w:val="sr"/>
        </w:rPr>
        <w:lastRenderedPageBreak/>
        <w:t>Табела 2:</w:t>
      </w:r>
      <w:r>
        <w:rPr>
          <w:rFonts w:ascii="Acumin Pro" w:hAnsi="Acumin Pro" w:cs="Arial"/>
          <w:lang w:val="sr"/>
        </w:rPr>
        <w:t xml:space="preserve"> </w:t>
      </w:r>
      <w:r>
        <w:rPr>
          <w:rFonts w:ascii="Acumin Pro" w:hAnsi="Acumin Pro" w:cs="Arial"/>
          <w:b/>
          <w:bCs/>
          <w:lang w:val="sr"/>
        </w:rPr>
        <w:t>Минимална зарада у поређењу са просечном зарадом у Србији</w:t>
      </w:r>
      <w:r>
        <w:rPr>
          <w:rFonts w:ascii="Acumin Pro" w:hAnsi="Acumin Pro" w:cs="Arial"/>
          <w:lang w:val="sr"/>
        </w:rPr>
        <w:t xml:space="preserve"> </w:t>
      </w:r>
    </w:p>
    <w:tbl>
      <w:tblPr>
        <w:tblStyle w:val="TableGrid"/>
        <w:tblW w:w="0" w:type="auto"/>
        <w:tblLook w:val="04A0" w:firstRow="1" w:lastRow="0" w:firstColumn="1" w:lastColumn="0" w:noHBand="0" w:noVBand="1"/>
      </w:tblPr>
      <w:tblGrid>
        <w:gridCol w:w="2254"/>
        <w:gridCol w:w="2254"/>
        <w:gridCol w:w="2254"/>
        <w:gridCol w:w="2254"/>
      </w:tblGrid>
      <w:tr w:rsidR="005E55DB" w14:paraId="7AAD2A1C" w14:textId="77777777" w:rsidTr="005E55DB">
        <w:tc>
          <w:tcPr>
            <w:tcW w:w="2254" w:type="dxa"/>
            <w:shd w:val="clear" w:color="auto" w:fill="FA6262"/>
          </w:tcPr>
          <w:p w14:paraId="3F17E8E8" w14:textId="77777777" w:rsidR="005E55DB" w:rsidRPr="005E55DB" w:rsidRDefault="005E55DB" w:rsidP="00E60859">
            <w:pPr>
              <w:ind w:left="-426" w:right="-613"/>
              <w:jc w:val="center"/>
              <w:rPr>
                <w:rFonts w:ascii="Acumin Pro" w:hAnsi="Acumin Pro" w:cs="Arial"/>
                <w:b/>
                <w:bCs/>
                <w:color w:val="FFFFFF" w:themeColor="background1"/>
              </w:rPr>
            </w:pPr>
            <w:r>
              <w:rPr>
                <w:rFonts w:ascii="Acumin Pro" w:hAnsi="Acumin Pro" w:cs="Arial"/>
                <w:b/>
                <w:bCs/>
                <w:color w:val="FFFFFF" w:themeColor="background1"/>
                <w:lang w:val="sr"/>
              </w:rPr>
              <w:t>Година</w:t>
            </w:r>
          </w:p>
        </w:tc>
        <w:tc>
          <w:tcPr>
            <w:tcW w:w="2254" w:type="dxa"/>
            <w:shd w:val="clear" w:color="auto" w:fill="FA6262"/>
          </w:tcPr>
          <w:p w14:paraId="134EE90C" w14:textId="77777777" w:rsidR="005E55DB" w:rsidRPr="005E55DB" w:rsidRDefault="005E55DB" w:rsidP="00E60859">
            <w:pPr>
              <w:ind w:left="-426" w:right="-613"/>
              <w:jc w:val="center"/>
              <w:rPr>
                <w:rFonts w:ascii="Acumin Pro" w:hAnsi="Acumin Pro" w:cs="Arial"/>
                <w:b/>
                <w:bCs/>
                <w:color w:val="FFFFFF" w:themeColor="background1"/>
              </w:rPr>
            </w:pPr>
            <w:r>
              <w:rPr>
                <w:rFonts w:ascii="Acumin Pro" w:hAnsi="Acumin Pro" w:cs="Arial"/>
                <w:b/>
                <w:bCs/>
                <w:color w:val="FFFFFF" w:themeColor="background1"/>
                <w:lang w:val="sr"/>
              </w:rPr>
              <w:t>Минимална зарада</w:t>
            </w:r>
          </w:p>
        </w:tc>
        <w:tc>
          <w:tcPr>
            <w:tcW w:w="2254" w:type="dxa"/>
            <w:shd w:val="clear" w:color="auto" w:fill="FA6262"/>
          </w:tcPr>
          <w:p w14:paraId="554F1FE4" w14:textId="77777777" w:rsidR="005E55DB" w:rsidRPr="005E55DB" w:rsidRDefault="005E55DB" w:rsidP="00E60859">
            <w:pPr>
              <w:ind w:left="-426" w:right="-613"/>
              <w:jc w:val="center"/>
              <w:rPr>
                <w:rFonts w:ascii="Acumin Pro" w:hAnsi="Acumin Pro" w:cs="Arial"/>
                <w:b/>
                <w:bCs/>
                <w:color w:val="FFFFFF" w:themeColor="background1"/>
              </w:rPr>
            </w:pPr>
            <w:r>
              <w:rPr>
                <w:rFonts w:ascii="Acumin Pro" w:hAnsi="Acumin Pro" w:cs="Arial"/>
                <w:b/>
                <w:bCs/>
                <w:color w:val="FFFFFF" w:themeColor="background1"/>
                <w:lang w:val="sr"/>
              </w:rPr>
              <w:t>Просечна плата</w:t>
            </w:r>
          </w:p>
        </w:tc>
        <w:tc>
          <w:tcPr>
            <w:tcW w:w="2254" w:type="dxa"/>
            <w:shd w:val="clear" w:color="auto" w:fill="FA6262"/>
          </w:tcPr>
          <w:p w14:paraId="57873FF3" w14:textId="77777777" w:rsidR="005E55DB" w:rsidRPr="005E55DB" w:rsidRDefault="005E55DB" w:rsidP="00E60859">
            <w:pPr>
              <w:ind w:left="-426" w:right="-613"/>
              <w:jc w:val="center"/>
              <w:rPr>
                <w:rFonts w:ascii="Acumin Pro" w:hAnsi="Acumin Pro" w:cs="Arial"/>
                <w:b/>
                <w:bCs/>
                <w:color w:val="FFFFFF" w:themeColor="background1"/>
              </w:rPr>
            </w:pPr>
            <w:r>
              <w:rPr>
                <w:rFonts w:ascii="Acumin Pro" w:hAnsi="Acumin Pro" w:cs="Arial"/>
                <w:b/>
                <w:bCs/>
                <w:color w:val="FFFFFF" w:themeColor="background1"/>
                <w:lang w:val="sr"/>
              </w:rPr>
              <w:t>Однос МЗ:ПП</w:t>
            </w:r>
          </w:p>
        </w:tc>
      </w:tr>
      <w:tr w:rsidR="005E55DB" w14:paraId="2360082F" w14:textId="77777777" w:rsidTr="005E55DB">
        <w:tc>
          <w:tcPr>
            <w:tcW w:w="2254" w:type="dxa"/>
          </w:tcPr>
          <w:p w14:paraId="60357665" w14:textId="77777777" w:rsidR="005E55DB" w:rsidRPr="005E55DB" w:rsidRDefault="005E55DB" w:rsidP="00E60859">
            <w:pPr>
              <w:ind w:left="-426" w:right="-613"/>
              <w:jc w:val="center"/>
              <w:rPr>
                <w:rFonts w:ascii="Acumin Pro" w:hAnsi="Acumin Pro" w:cs="Arial"/>
              </w:rPr>
            </w:pPr>
            <w:r>
              <w:rPr>
                <w:rFonts w:ascii="Acumin Pro" w:hAnsi="Acumin Pro" w:cs="Arial"/>
                <w:lang w:val="sr"/>
              </w:rPr>
              <w:t>2017</w:t>
            </w:r>
          </w:p>
        </w:tc>
        <w:tc>
          <w:tcPr>
            <w:tcW w:w="2254" w:type="dxa"/>
          </w:tcPr>
          <w:p w14:paraId="7E0BF534" w14:textId="77777777" w:rsidR="005E55DB" w:rsidRPr="005E55DB" w:rsidRDefault="005E55DB" w:rsidP="00E60859">
            <w:pPr>
              <w:ind w:left="-426" w:right="-613"/>
              <w:jc w:val="center"/>
              <w:rPr>
                <w:rFonts w:ascii="Acumin Pro" w:hAnsi="Acumin Pro" w:cs="Arial"/>
              </w:rPr>
            </w:pPr>
            <w:r>
              <w:rPr>
                <w:rFonts w:ascii="Acumin Pro" w:hAnsi="Acumin Pro" w:cs="Arial"/>
                <w:lang w:val="sr"/>
              </w:rPr>
              <w:t>22.620 РСД</w:t>
            </w:r>
          </w:p>
        </w:tc>
        <w:tc>
          <w:tcPr>
            <w:tcW w:w="2254" w:type="dxa"/>
          </w:tcPr>
          <w:p w14:paraId="2BCAB70A" w14:textId="77777777" w:rsidR="005E55DB" w:rsidRPr="005E55DB" w:rsidRDefault="005E55DB" w:rsidP="00E60859">
            <w:pPr>
              <w:ind w:left="-426" w:right="-613"/>
              <w:jc w:val="center"/>
              <w:rPr>
                <w:rFonts w:ascii="Acumin Pro" w:hAnsi="Acumin Pro" w:cs="Arial"/>
              </w:rPr>
            </w:pPr>
            <w:r>
              <w:rPr>
                <w:rFonts w:ascii="Acumin Pro" w:hAnsi="Acumin Pro" w:cs="Arial"/>
                <w:lang w:val="sr"/>
              </w:rPr>
              <w:t>47.888 РСД</w:t>
            </w:r>
          </w:p>
        </w:tc>
        <w:tc>
          <w:tcPr>
            <w:tcW w:w="2254" w:type="dxa"/>
          </w:tcPr>
          <w:p w14:paraId="1ADCCAE2" w14:textId="77777777" w:rsidR="005E55DB" w:rsidRPr="005E55DB" w:rsidRDefault="005E55DB" w:rsidP="00E60859">
            <w:pPr>
              <w:ind w:left="-426" w:right="-613"/>
              <w:jc w:val="center"/>
              <w:rPr>
                <w:rFonts w:ascii="Acumin Pro" w:hAnsi="Acumin Pro" w:cs="Arial"/>
              </w:rPr>
            </w:pPr>
            <w:r>
              <w:rPr>
                <w:rFonts w:ascii="Acumin Pro" w:hAnsi="Acumin Pro" w:cs="Arial"/>
                <w:lang w:val="sr"/>
              </w:rPr>
              <w:t>47,24%</w:t>
            </w:r>
          </w:p>
        </w:tc>
      </w:tr>
      <w:tr w:rsidR="005E55DB" w14:paraId="7C83044A" w14:textId="77777777" w:rsidTr="005E55DB">
        <w:tc>
          <w:tcPr>
            <w:tcW w:w="2254" w:type="dxa"/>
          </w:tcPr>
          <w:p w14:paraId="3626C2E0" w14:textId="77777777" w:rsidR="005E55DB" w:rsidRPr="005E55DB" w:rsidRDefault="005E55DB" w:rsidP="00E60859">
            <w:pPr>
              <w:ind w:left="-426" w:right="-613"/>
              <w:jc w:val="center"/>
              <w:rPr>
                <w:rFonts w:ascii="Acumin Pro" w:hAnsi="Acumin Pro" w:cs="Arial"/>
              </w:rPr>
            </w:pPr>
            <w:r>
              <w:rPr>
                <w:rFonts w:ascii="Acumin Pro" w:hAnsi="Acumin Pro" w:cs="Arial"/>
                <w:lang w:val="sr"/>
              </w:rPr>
              <w:t>2018</w:t>
            </w:r>
          </w:p>
        </w:tc>
        <w:tc>
          <w:tcPr>
            <w:tcW w:w="2254" w:type="dxa"/>
          </w:tcPr>
          <w:p w14:paraId="080ED003" w14:textId="77777777" w:rsidR="005E55DB" w:rsidRPr="005E55DB" w:rsidRDefault="005E55DB" w:rsidP="00E60859">
            <w:pPr>
              <w:ind w:left="-426" w:right="-613"/>
              <w:jc w:val="center"/>
              <w:rPr>
                <w:rFonts w:ascii="Acumin Pro" w:hAnsi="Acumin Pro" w:cs="Arial"/>
              </w:rPr>
            </w:pPr>
            <w:r>
              <w:rPr>
                <w:rFonts w:ascii="Acumin Pro" w:hAnsi="Acumin Pro" w:cs="Arial"/>
                <w:lang w:val="sr"/>
              </w:rPr>
              <w:t>24.882 РСД</w:t>
            </w:r>
          </w:p>
        </w:tc>
        <w:tc>
          <w:tcPr>
            <w:tcW w:w="2254" w:type="dxa"/>
          </w:tcPr>
          <w:p w14:paraId="3B4EC541" w14:textId="77777777" w:rsidR="005E55DB" w:rsidRPr="005E55DB" w:rsidRDefault="005E55DB" w:rsidP="00E60859">
            <w:pPr>
              <w:ind w:left="-426" w:right="-613"/>
              <w:jc w:val="center"/>
              <w:rPr>
                <w:rFonts w:ascii="Acumin Pro" w:hAnsi="Acumin Pro" w:cs="Arial"/>
              </w:rPr>
            </w:pPr>
            <w:r>
              <w:rPr>
                <w:rFonts w:ascii="Acumin Pro" w:hAnsi="Acumin Pro" w:cs="Arial"/>
                <w:lang w:val="sr"/>
              </w:rPr>
              <w:t>49.643 РСД</w:t>
            </w:r>
          </w:p>
        </w:tc>
        <w:tc>
          <w:tcPr>
            <w:tcW w:w="2254" w:type="dxa"/>
          </w:tcPr>
          <w:p w14:paraId="57F21100" w14:textId="77777777" w:rsidR="005E55DB" w:rsidRPr="005E55DB" w:rsidRDefault="005E55DB" w:rsidP="00E60859">
            <w:pPr>
              <w:ind w:left="-426" w:right="-613"/>
              <w:jc w:val="center"/>
              <w:rPr>
                <w:rFonts w:ascii="Acumin Pro" w:hAnsi="Acumin Pro" w:cs="Arial"/>
              </w:rPr>
            </w:pPr>
            <w:r>
              <w:rPr>
                <w:rFonts w:ascii="Acumin Pro" w:hAnsi="Acumin Pro" w:cs="Arial"/>
                <w:lang w:val="sr"/>
              </w:rPr>
              <w:t>50,12%</w:t>
            </w:r>
          </w:p>
        </w:tc>
      </w:tr>
      <w:tr w:rsidR="005E55DB" w14:paraId="7B420AF7" w14:textId="77777777" w:rsidTr="005E55DB">
        <w:tc>
          <w:tcPr>
            <w:tcW w:w="2254" w:type="dxa"/>
          </w:tcPr>
          <w:p w14:paraId="49487C2D" w14:textId="77777777" w:rsidR="005E55DB" w:rsidRPr="005E55DB" w:rsidRDefault="005E55DB" w:rsidP="00E60859">
            <w:pPr>
              <w:ind w:left="-426" w:right="-613"/>
              <w:jc w:val="center"/>
              <w:rPr>
                <w:rFonts w:ascii="Acumin Pro" w:hAnsi="Acumin Pro" w:cs="Arial"/>
              </w:rPr>
            </w:pPr>
            <w:r>
              <w:rPr>
                <w:rFonts w:ascii="Acumin Pro" w:hAnsi="Acumin Pro" w:cs="Arial"/>
                <w:lang w:val="sr"/>
              </w:rPr>
              <w:t>2019</w:t>
            </w:r>
          </w:p>
        </w:tc>
        <w:tc>
          <w:tcPr>
            <w:tcW w:w="2254" w:type="dxa"/>
          </w:tcPr>
          <w:p w14:paraId="7CD09666" w14:textId="77777777" w:rsidR="005E55DB" w:rsidRPr="005E55DB" w:rsidRDefault="005E55DB" w:rsidP="00E60859">
            <w:pPr>
              <w:ind w:left="-426" w:right="-613"/>
              <w:jc w:val="center"/>
              <w:rPr>
                <w:rFonts w:ascii="Acumin Pro" w:hAnsi="Acumin Pro" w:cs="Arial"/>
              </w:rPr>
            </w:pPr>
            <w:r>
              <w:rPr>
                <w:rFonts w:ascii="Acumin Pro" w:hAnsi="Acumin Pro" w:cs="Arial"/>
                <w:lang w:val="sr"/>
              </w:rPr>
              <w:t>27.022 РСД</w:t>
            </w:r>
          </w:p>
        </w:tc>
        <w:tc>
          <w:tcPr>
            <w:tcW w:w="2254" w:type="dxa"/>
          </w:tcPr>
          <w:p w14:paraId="6926AEE7" w14:textId="77777777" w:rsidR="005E55DB" w:rsidRPr="005E55DB" w:rsidRDefault="005E55DB" w:rsidP="00E60859">
            <w:pPr>
              <w:ind w:left="-426" w:right="-613"/>
              <w:jc w:val="center"/>
              <w:rPr>
                <w:rFonts w:ascii="Acumin Pro" w:hAnsi="Acumin Pro" w:cs="Arial"/>
              </w:rPr>
            </w:pPr>
            <w:r>
              <w:rPr>
                <w:rFonts w:ascii="Acumin Pro" w:hAnsi="Acumin Pro" w:cs="Arial"/>
                <w:lang w:val="sr"/>
              </w:rPr>
              <w:t>54.908 РСД</w:t>
            </w:r>
          </w:p>
        </w:tc>
        <w:tc>
          <w:tcPr>
            <w:tcW w:w="2254" w:type="dxa"/>
          </w:tcPr>
          <w:p w14:paraId="0C10CAD5" w14:textId="77777777" w:rsidR="005E55DB" w:rsidRPr="005E55DB" w:rsidRDefault="005E55DB" w:rsidP="00E60859">
            <w:pPr>
              <w:ind w:left="-426" w:right="-613"/>
              <w:jc w:val="center"/>
              <w:rPr>
                <w:rFonts w:ascii="Acumin Pro" w:hAnsi="Acumin Pro" w:cs="Arial"/>
              </w:rPr>
            </w:pPr>
            <w:r>
              <w:rPr>
                <w:rFonts w:ascii="Acumin Pro" w:hAnsi="Acumin Pro" w:cs="Arial"/>
                <w:lang w:val="sr"/>
              </w:rPr>
              <w:t>49,21%</w:t>
            </w:r>
          </w:p>
        </w:tc>
      </w:tr>
      <w:tr w:rsidR="005E55DB" w14:paraId="532B2C52" w14:textId="77777777" w:rsidTr="005E55DB">
        <w:tc>
          <w:tcPr>
            <w:tcW w:w="2254" w:type="dxa"/>
          </w:tcPr>
          <w:p w14:paraId="2FABB1C6" w14:textId="77777777" w:rsidR="005E55DB" w:rsidRPr="005E55DB" w:rsidRDefault="005E55DB" w:rsidP="00E60859">
            <w:pPr>
              <w:ind w:left="-426" w:right="-613"/>
              <w:jc w:val="center"/>
              <w:rPr>
                <w:rFonts w:ascii="Acumin Pro" w:hAnsi="Acumin Pro" w:cs="Arial"/>
              </w:rPr>
            </w:pPr>
            <w:r>
              <w:rPr>
                <w:rFonts w:ascii="Acumin Pro" w:hAnsi="Acumin Pro" w:cs="Arial"/>
                <w:lang w:val="sr"/>
              </w:rPr>
              <w:t>2020</w:t>
            </w:r>
            <w:r>
              <w:rPr>
                <w:rStyle w:val="FootnoteReference"/>
                <w:rFonts w:ascii="Acumin Pro" w:hAnsi="Acumin Pro" w:cs="Arial"/>
                <w:lang w:val="sr"/>
              </w:rPr>
              <w:footnoteReference w:id="46"/>
            </w:r>
          </w:p>
        </w:tc>
        <w:tc>
          <w:tcPr>
            <w:tcW w:w="2254" w:type="dxa"/>
          </w:tcPr>
          <w:p w14:paraId="68CFBF23" w14:textId="77777777" w:rsidR="005E55DB" w:rsidRPr="005E55DB" w:rsidRDefault="005E55DB" w:rsidP="00E60859">
            <w:pPr>
              <w:ind w:left="-426" w:right="-613"/>
              <w:jc w:val="center"/>
              <w:rPr>
                <w:rFonts w:ascii="Acumin Pro" w:hAnsi="Acumin Pro" w:cs="Arial"/>
              </w:rPr>
            </w:pPr>
            <w:r>
              <w:rPr>
                <w:rFonts w:ascii="Acumin Pro" w:hAnsi="Acumin Pro" w:cs="Arial"/>
                <w:lang w:val="sr"/>
              </w:rPr>
              <w:t>30.022 РСД</w:t>
            </w:r>
          </w:p>
        </w:tc>
        <w:tc>
          <w:tcPr>
            <w:tcW w:w="2254" w:type="dxa"/>
          </w:tcPr>
          <w:p w14:paraId="04E48320" w14:textId="77777777" w:rsidR="005E55DB" w:rsidRPr="005E55DB" w:rsidRDefault="005E55DB" w:rsidP="00E60859">
            <w:pPr>
              <w:ind w:left="-426" w:right="-613"/>
              <w:jc w:val="center"/>
              <w:rPr>
                <w:rFonts w:ascii="Acumin Pro" w:hAnsi="Acumin Pro" w:cs="Arial"/>
              </w:rPr>
            </w:pPr>
            <w:r>
              <w:rPr>
                <w:rFonts w:ascii="Acumin Pro" w:hAnsi="Acumin Pro" w:cs="Arial"/>
                <w:lang w:val="sr"/>
              </w:rPr>
              <w:t>60.057 РСД</w:t>
            </w:r>
          </w:p>
        </w:tc>
        <w:tc>
          <w:tcPr>
            <w:tcW w:w="2254" w:type="dxa"/>
          </w:tcPr>
          <w:p w14:paraId="4D871B32" w14:textId="77777777" w:rsidR="005E55DB" w:rsidRPr="005E55DB" w:rsidRDefault="005E55DB" w:rsidP="00E60859">
            <w:pPr>
              <w:ind w:left="-426" w:right="-613"/>
              <w:jc w:val="center"/>
              <w:rPr>
                <w:rFonts w:ascii="Acumin Pro" w:hAnsi="Acumin Pro" w:cs="Arial"/>
              </w:rPr>
            </w:pPr>
            <w:r>
              <w:rPr>
                <w:rFonts w:ascii="Acumin Pro" w:hAnsi="Acumin Pro" w:cs="Arial"/>
                <w:lang w:val="sr"/>
              </w:rPr>
              <w:t>49,99%</w:t>
            </w:r>
          </w:p>
        </w:tc>
      </w:tr>
    </w:tbl>
    <w:p w14:paraId="3A5039DB" w14:textId="77777777" w:rsidR="008129D5" w:rsidRDefault="008129D5" w:rsidP="00D7678F">
      <w:pPr>
        <w:ind w:right="-613"/>
        <w:rPr>
          <w:rFonts w:ascii="Acumin Pro" w:eastAsiaTheme="majorEastAsia" w:hAnsi="Acumin Pro" w:cstheme="majorBidi"/>
          <w:b/>
          <w:bCs/>
          <w:sz w:val="26"/>
          <w:szCs w:val="26"/>
        </w:rPr>
      </w:pPr>
    </w:p>
    <w:p w14:paraId="32C847E6" w14:textId="5EC27220" w:rsidR="00D34061" w:rsidRPr="00C479D3" w:rsidRDefault="00D34061" w:rsidP="00E60859">
      <w:pPr>
        <w:pStyle w:val="Heading2"/>
        <w:ind w:left="-426" w:right="-613"/>
        <w:rPr>
          <w:rFonts w:ascii="Calibri" w:hAnsi="Calibri" w:cs="Calibri"/>
          <w:b/>
          <w:bCs/>
          <w:color w:val="auto"/>
          <w:lang w:val="sr-Cyrl-RS"/>
        </w:rPr>
      </w:pPr>
      <w:bookmarkStart w:id="14" w:name="_Toc93918928"/>
      <w:r>
        <w:rPr>
          <w:rFonts w:ascii="Acumin Pro" w:hAnsi="Acumin Pro"/>
          <w:b/>
          <w:bCs/>
          <w:color w:val="auto"/>
          <w:lang w:val="sr"/>
        </w:rPr>
        <w:t xml:space="preserve">ЧЛАН 9 – СОЦИЈАЛНА </w:t>
      </w:r>
      <w:bookmarkEnd w:id="14"/>
      <w:r w:rsidR="0069213C">
        <w:rPr>
          <w:rFonts w:ascii="Calibri" w:hAnsi="Calibri" w:cs="Calibri"/>
          <w:b/>
          <w:bCs/>
          <w:color w:val="auto"/>
          <w:lang w:val="sr-Cyrl-RS"/>
        </w:rPr>
        <w:t>ЗАШТИТЕ</w:t>
      </w:r>
    </w:p>
    <w:p w14:paraId="487B0504" w14:textId="77777777" w:rsidR="00D34061" w:rsidRDefault="00D34061" w:rsidP="00D34061"/>
    <w:p w14:paraId="327C48B7" w14:textId="77777777" w:rsidR="00AF7173" w:rsidRPr="00AF7173" w:rsidRDefault="00AF7173" w:rsidP="00AF7173">
      <w:pPr>
        <w:pStyle w:val="ListParagraph"/>
        <w:numPr>
          <w:ilvl w:val="0"/>
          <w:numId w:val="19"/>
        </w:numPr>
        <w:spacing w:after="0"/>
        <w:ind w:left="-426"/>
        <w:jc w:val="both"/>
        <w:rPr>
          <w:rFonts w:ascii="Acumin Pro" w:hAnsi="Acumin Pro"/>
        </w:rPr>
      </w:pPr>
      <w:r>
        <w:rPr>
          <w:rFonts w:ascii="Acumin Pro" w:hAnsi="Acumin Pro"/>
          <w:lang w:val="sr"/>
        </w:rPr>
        <w:t>Услуга персоналне асистенције је од суштинске важности за особе са инвалидитетом јер је једна од услуга подршке за самосталан живот, прво уведена Законом о социјалној заштити</w:t>
      </w:r>
      <w:r w:rsidRPr="00C479D3">
        <w:rPr>
          <w:rStyle w:val="FootnoteReference"/>
        </w:rPr>
        <w:footnoteReference w:id="47"/>
      </w:r>
      <w:r>
        <w:rPr>
          <w:rFonts w:ascii="Acumin Pro" w:hAnsi="Acumin Pro"/>
          <w:lang w:val="sr"/>
        </w:rPr>
        <w:t>. На значај ове услуге подршке за самосталан живот ван институција указује и Стратегија за унапређење положаја особа са инвалидитетом</w:t>
      </w:r>
      <w:r w:rsidRPr="00C479D3">
        <w:rPr>
          <w:rStyle w:val="FootnoteReference"/>
        </w:rPr>
        <w:footnoteReference w:id="48"/>
      </w:r>
      <w:r w:rsidRPr="00C479D3">
        <w:rPr>
          <w:rStyle w:val="FootnoteReference"/>
        </w:rPr>
        <w:t xml:space="preserve"> </w:t>
      </w:r>
      <w:r>
        <w:rPr>
          <w:rFonts w:ascii="Acumin Pro" w:hAnsi="Acumin Pro"/>
          <w:lang w:val="sr"/>
        </w:rPr>
        <w:t>и Комитет за права особа са инвалидитетом.</w:t>
      </w:r>
      <w:r w:rsidRPr="00C479D3">
        <w:rPr>
          <w:rStyle w:val="FootnoteReference"/>
        </w:rPr>
        <w:footnoteReference w:id="49"/>
      </w:r>
    </w:p>
    <w:p w14:paraId="64FE5B49" w14:textId="77777777" w:rsidR="00AF7173" w:rsidRDefault="00AF7173" w:rsidP="00AF7173">
      <w:pPr>
        <w:pStyle w:val="ListParagraph"/>
        <w:numPr>
          <w:ilvl w:val="0"/>
          <w:numId w:val="19"/>
        </w:numPr>
        <w:spacing w:after="0"/>
        <w:ind w:left="-426"/>
        <w:jc w:val="both"/>
        <w:rPr>
          <w:rFonts w:ascii="Acumin Pro" w:hAnsi="Acumin Pro"/>
        </w:rPr>
      </w:pPr>
      <w:r>
        <w:rPr>
          <w:rFonts w:ascii="Acumin Pro" w:hAnsi="Acumin Pro"/>
          <w:lang w:val="sr"/>
        </w:rPr>
        <w:t>Међутим, у Србији је евидентан недостатак стратешке политике деинституционализације, а један од показатеља је и чињеница да су услуге персоналне асистенције веома недоступне особама са инвалидитетом. На основу искустава организација које раде у овој области, већина особа са инвалидитетом којима је заиста потребна персонална асистенција се преусмерава на доступније услуге кућне неге које су јефтиније, али не обезбеђују услове за самосталнији живот особа са инвалидитетом. Штавише, многима од њих нису пружене никакве услуге. Ово се дешава због низа разлога. Прво, само 12% јединица локалне самоуправе у Србији финансира ове услуге.</w:t>
      </w:r>
      <w:r w:rsidRPr="00C479D3">
        <w:rPr>
          <w:rStyle w:val="FootnoteReference"/>
        </w:rPr>
        <w:footnoteReference w:id="50"/>
      </w:r>
      <w:r>
        <w:rPr>
          <w:rFonts w:ascii="Acumin Pro" w:hAnsi="Acumin Pro"/>
          <w:lang w:val="sr"/>
        </w:rPr>
        <w:t xml:space="preserve"> Стога је укупан број корисника веома низак – 284</w:t>
      </w:r>
      <w:r w:rsidRPr="00C479D3">
        <w:rPr>
          <w:rStyle w:val="FootnoteReference"/>
        </w:rPr>
        <w:footnoteReference w:id="51"/>
      </w:r>
      <w:r w:rsidRPr="00C479D3">
        <w:rPr>
          <w:rStyle w:val="FootnoteReference"/>
        </w:rPr>
        <w:t xml:space="preserve"> </w:t>
      </w:r>
      <w:r>
        <w:rPr>
          <w:rFonts w:ascii="Acumin Pro" w:hAnsi="Acumin Pro"/>
          <w:lang w:val="sr"/>
        </w:rPr>
        <w:t>и неравномерно распоређен (према последњим доступним подацима у 2018. години 91% њих је живело у урбаним срединама).</w:t>
      </w:r>
      <w:r w:rsidRPr="00C479D3">
        <w:rPr>
          <w:rStyle w:val="FootnoteReference"/>
        </w:rPr>
        <w:footnoteReference w:id="52"/>
      </w:r>
      <w:r>
        <w:rPr>
          <w:rFonts w:ascii="Acumin Pro" w:hAnsi="Acumin Pro"/>
          <w:lang w:val="sr"/>
        </w:rPr>
        <w:t xml:space="preserve"> Поређења ради, укупан број особа са инвалидитетом које се налазе на евиденцији центара за социјални рад је 539.452.</w:t>
      </w:r>
      <w:r w:rsidRPr="00C479D3">
        <w:rPr>
          <w:rStyle w:val="FootnoteReference"/>
        </w:rPr>
        <w:footnoteReference w:id="53"/>
      </w:r>
      <w:r>
        <w:rPr>
          <w:rFonts w:ascii="Acumin Pro" w:hAnsi="Acumin Pro"/>
          <w:lang w:val="sr"/>
        </w:rPr>
        <w:t xml:space="preserve"> Друго, критеријуми за квалификовање за персоналну асистенцију су веома рестриктивни. Ова услуга је само за пунолетна лица са инвалидитетом са процењеним I или II степеном подршке, која остварују право на увећани додатак за негу и помоћ, имају могућност самосталног одлучивања, запослени су или активно учествују у разним удружењима грађана, спортским удружењима, политичким партијама и другим облицима друштвеног ангажовања, или су укључени у редовни или индивидуални образовни програм. Ово ставља огромну већину особа које имају директну потребу ван оквира ове услуге. </w:t>
      </w:r>
    </w:p>
    <w:p w14:paraId="0D00F250" w14:textId="77777777" w:rsidR="00AF7173" w:rsidRPr="00F41825" w:rsidRDefault="00AF7173" w:rsidP="00F41825">
      <w:pPr>
        <w:spacing w:after="0"/>
        <w:ind w:left="-786"/>
        <w:jc w:val="both"/>
        <w:rPr>
          <w:rFonts w:ascii="Acumin Pro" w:hAnsi="Acumin Pro"/>
        </w:rPr>
      </w:pPr>
    </w:p>
    <w:p w14:paraId="785CA506" w14:textId="77777777" w:rsidR="00AD3122" w:rsidRDefault="007F14F7" w:rsidP="00E60859">
      <w:pPr>
        <w:pStyle w:val="Heading2"/>
        <w:ind w:left="-426" w:right="-613"/>
        <w:rPr>
          <w:rFonts w:ascii="Acumin Pro" w:hAnsi="Acumin Pro"/>
          <w:b/>
          <w:bCs/>
          <w:color w:val="auto"/>
        </w:rPr>
      </w:pPr>
      <w:bookmarkStart w:id="15" w:name="_Toc93918929"/>
      <w:r>
        <w:rPr>
          <w:rFonts w:ascii="Acumin Pro" w:hAnsi="Acumin Pro"/>
          <w:b/>
          <w:bCs/>
          <w:color w:val="auto"/>
          <w:lang w:val="sr"/>
        </w:rPr>
        <w:t>ЧЛАН 11 – ПРАВО НА АДЕКВАТНО СТАНОВАЊЕ</w:t>
      </w:r>
      <w:bookmarkEnd w:id="15"/>
      <w:r>
        <w:rPr>
          <w:rFonts w:ascii="Acumin Pro" w:hAnsi="Acumin Pro"/>
          <w:color w:val="auto"/>
          <w:lang w:val="sr"/>
        </w:rPr>
        <w:t xml:space="preserve"> </w:t>
      </w:r>
    </w:p>
    <w:p w14:paraId="1533DFB4" w14:textId="77777777" w:rsidR="008810F6" w:rsidRDefault="008810F6" w:rsidP="00E60859">
      <w:pPr>
        <w:ind w:left="-426" w:right="-613"/>
      </w:pPr>
    </w:p>
    <w:p w14:paraId="0219AE12" w14:textId="77777777" w:rsidR="008810F6" w:rsidRDefault="008810F6" w:rsidP="00E60859">
      <w:pPr>
        <w:pStyle w:val="Heading3"/>
        <w:ind w:left="-426" w:right="-613"/>
        <w:rPr>
          <w:rFonts w:ascii="Acumin Pro" w:hAnsi="Acumin Pro"/>
          <w:b/>
          <w:bCs/>
          <w:color w:val="auto"/>
        </w:rPr>
      </w:pPr>
      <w:bookmarkStart w:id="16" w:name="_Toc93918930"/>
      <w:r>
        <w:rPr>
          <w:rFonts w:ascii="Acumin Pro" w:hAnsi="Acumin Pro"/>
          <w:b/>
          <w:bCs/>
          <w:color w:val="auto"/>
          <w:lang w:val="sr"/>
        </w:rPr>
        <w:lastRenderedPageBreak/>
        <w:t>Принудна исељења и приступ социјалним становима</w:t>
      </w:r>
      <w:bookmarkEnd w:id="16"/>
      <w:r>
        <w:rPr>
          <w:rFonts w:ascii="Acumin Pro" w:hAnsi="Acumin Pro"/>
          <w:color w:val="auto"/>
          <w:lang w:val="sr"/>
        </w:rPr>
        <w:t xml:space="preserve"> </w:t>
      </w:r>
    </w:p>
    <w:p w14:paraId="2E37AC6D" w14:textId="77777777" w:rsidR="008129D5" w:rsidRDefault="008129D5" w:rsidP="00E60859">
      <w:pPr>
        <w:ind w:left="-426" w:right="-613"/>
      </w:pPr>
    </w:p>
    <w:p w14:paraId="28DE9ACF" w14:textId="681E8CE3" w:rsidR="00F82FB3" w:rsidRDefault="00B708F8" w:rsidP="00E60859">
      <w:pPr>
        <w:pStyle w:val="ListParagraph"/>
        <w:numPr>
          <w:ilvl w:val="0"/>
          <w:numId w:val="19"/>
        </w:numPr>
        <w:ind w:left="-426" w:right="-613"/>
        <w:jc w:val="both"/>
        <w:rPr>
          <w:rFonts w:ascii="Acumin Pro" w:hAnsi="Acumin Pro"/>
        </w:rPr>
      </w:pPr>
      <w:r>
        <w:rPr>
          <w:rFonts w:ascii="Acumin Pro" w:hAnsi="Acumin Pro"/>
          <w:lang w:val="sr"/>
        </w:rPr>
        <w:t>Усвајањем Закона о становању и одржавању зграда</w:t>
      </w:r>
      <w:r>
        <w:rPr>
          <w:rStyle w:val="FootnoteReference"/>
          <w:rFonts w:ascii="Acumin Pro" w:hAnsi="Acumin Pro"/>
          <w:lang w:val="sr"/>
        </w:rPr>
        <w:footnoteReference w:id="54"/>
      </w:r>
      <w:r>
        <w:rPr>
          <w:rFonts w:ascii="Acumin Pro" w:hAnsi="Acumin Pro"/>
          <w:lang w:val="sr"/>
        </w:rPr>
        <w:t xml:space="preserve"> унапређен је правни оквир релевантан за исељења и расељавање неформалних насеља увођењем посебне процедуре за </w:t>
      </w:r>
      <w:r w:rsidR="0069213C">
        <w:rPr>
          <w:rFonts w:ascii="Calibri" w:hAnsi="Calibri" w:cs="Calibri"/>
          <w:lang w:val="sr-Cyrl-RS"/>
        </w:rPr>
        <w:t>исељење и п</w:t>
      </w:r>
      <w:r>
        <w:rPr>
          <w:rFonts w:ascii="Acumin Pro" w:hAnsi="Acumin Pro"/>
          <w:lang w:val="sr"/>
        </w:rPr>
        <w:t>р</w:t>
      </w:r>
      <w:r w:rsidR="0069213C">
        <w:rPr>
          <w:rFonts w:ascii="Calibri" w:hAnsi="Calibri" w:cs="Calibri"/>
          <w:lang w:val="sr-Cyrl-RS"/>
        </w:rPr>
        <w:t>е</w:t>
      </w:r>
      <w:r>
        <w:rPr>
          <w:rFonts w:ascii="Acumin Pro" w:hAnsi="Acumin Pro"/>
          <w:lang w:val="sr"/>
        </w:rPr>
        <w:t>се</w:t>
      </w:r>
      <w:r w:rsidR="0069213C">
        <w:rPr>
          <w:rFonts w:ascii="Calibri" w:hAnsi="Calibri" w:cs="Calibri"/>
          <w:lang w:val="sr-Cyrl-RS"/>
        </w:rPr>
        <w:t>ље</w:t>
      </w:r>
      <w:r>
        <w:rPr>
          <w:rFonts w:ascii="Acumin Pro" w:hAnsi="Acumin Pro"/>
          <w:lang w:val="sr"/>
        </w:rPr>
        <w:t>ње неформалних насеља. Међутим, још увек недостаје спровођење овог дела закона. На пример, до сада су идентификована само два случаја примене нових одредби за расељавање, један у случају исељења ромских скупљача отпада који живе на депонији Винча</w:t>
      </w:r>
      <w:r>
        <w:rPr>
          <w:rStyle w:val="FootnoteReference"/>
          <w:rFonts w:ascii="Acumin Pro" w:hAnsi="Acumin Pro"/>
          <w:lang w:val="sr"/>
        </w:rPr>
        <w:footnoteReference w:id="55"/>
      </w:r>
      <w:r>
        <w:rPr>
          <w:rFonts w:ascii="Acumin Pro" w:hAnsi="Acumin Pro"/>
          <w:lang w:val="sr"/>
        </w:rPr>
        <w:t xml:space="preserve">, а други у случају исељења </w:t>
      </w:r>
      <w:r w:rsidR="0069213C">
        <w:rPr>
          <w:rFonts w:ascii="Calibri" w:hAnsi="Calibri" w:cs="Calibri"/>
          <w:lang w:val="sr-Cyrl-RS"/>
        </w:rPr>
        <w:t>заснованог на</w:t>
      </w:r>
      <w:r>
        <w:rPr>
          <w:rFonts w:ascii="Acumin Pro" w:hAnsi="Acumin Pro"/>
          <w:lang w:val="sr"/>
        </w:rPr>
        <w:t xml:space="preserve"> развој</w:t>
      </w:r>
      <w:r w:rsidR="0069213C">
        <w:rPr>
          <w:rFonts w:ascii="Calibri" w:hAnsi="Calibri" w:cs="Calibri"/>
          <w:lang w:val="sr-Cyrl-RS"/>
        </w:rPr>
        <w:t>у</w:t>
      </w:r>
      <w:r>
        <w:rPr>
          <w:rFonts w:ascii="Acumin Pro" w:hAnsi="Acumin Pro"/>
          <w:lang w:val="sr"/>
        </w:rPr>
        <w:t xml:space="preserve"> у Граду Смедереву. Координација између различитих локалних и националних власти у поступцима расељавања и даље је изазовна, а у неким случајевима оставља особе погођене исељењем без крова над главом или без довољне подршке институција за социјалну заштиту. На пример, ромска заједница скупљача отпада која живи на депонији Винча у Београду расељена је преко зиме</w:t>
      </w:r>
      <w:r>
        <w:rPr>
          <w:rStyle w:val="FootnoteReference"/>
          <w:rFonts w:ascii="Acumin Pro" w:hAnsi="Acumin Pro"/>
          <w:lang w:val="sr"/>
        </w:rPr>
        <w:footnoteReference w:id="56"/>
      </w:r>
      <w:r>
        <w:rPr>
          <w:rFonts w:ascii="Acumin Pro" w:hAnsi="Acumin Pro"/>
          <w:lang w:val="sr"/>
        </w:rPr>
        <w:t xml:space="preserve">, без претходних консултација и без накнаде за оштећену или уништену имовину. Поред тога, од 17 ромских породица исељених са локације, само осам је добило смештај у прескупим стамбеним јединицама у Београду. Остале породице су спавале на отвореном и код својих рођака до краја 2020. године, када су им локалне самоуправе у којима </w:t>
      </w:r>
      <w:r w:rsidR="0069213C">
        <w:rPr>
          <w:rFonts w:ascii="Calibri" w:hAnsi="Calibri" w:cs="Calibri"/>
          <w:lang w:val="sr-Cyrl-RS"/>
        </w:rPr>
        <w:t xml:space="preserve">им </w:t>
      </w:r>
      <w:r>
        <w:rPr>
          <w:rFonts w:ascii="Acumin Pro" w:hAnsi="Acumin Pro"/>
          <w:lang w:val="sr"/>
        </w:rPr>
        <w:t xml:space="preserve">је пријављено пребивалиште обезбедиле стамбени додатак. Већина ових породица је и даље без адекватног смештаја и без подршке за обнављање средстава за живот након исељења. </w:t>
      </w:r>
    </w:p>
    <w:p w14:paraId="7EE5AD12" w14:textId="2CC99B79" w:rsidR="00BD7DDA" w:rsidRPr="00E60859" w:rsidRDefault="000252EF" w:rsidP="00E60859">
      <w:pPr>
        <w:pStyle w:val="ListParagraph"/>
        <w:numPr>
          <w:ilvl w:val="0"/>
          <w:numId w:val="19"/>
        </w:numPr>
        <w:ind w:left="-426" w:right="-613"/>
        <w:jc w:val="both"/>
        <w:rPr>
          <w:rFonts w:ascii="Acumin Pro" w:hAnsi="Acumin Pro"/>
        </w:rPr>
      </w:pPr>
      <w:r>
        <w:rPr>
          <w:rFonts w:ascii="Acumin Pro" w:hAnsi="Acumin Pro"/>
          <w:lang w:val="sr"/>
        </w:rPr>
        <w:t>Поред тога, Србији недостаје ефикасан систем социјалног становања, а сектор социјалног становања је фрагментиран, превише скуп и несигуран за најугроженије становништво. На пример, у Београду, у највећем комплексу социјалних станова, више од 60 породица живи без напајања електричном енергијом јер не могу да плате рачуне за комуналије, док је Град Београд покренуо извршни поступак против више од 200 породица ради наплате кирије и других рачуна за комуналије.</w:t>
      </w:r>
      <w:r>
        <w:rPr>
          <w:rStyle w:val="FootnoteReference"/>
          <w:rFonts w:ascii="Acumin Pro" w:hAnsi="Acumin Pro"/>
          <w:lang w:val="sr"/>
        </w:rPr>
        <w:footnoteReference w:id="57"/>
      </w:r>
      <w:r>
        <w:rPr>
          <w:rFonts w:ascii="Acumin Pro" w:hAnsi="Acumin Pro"/>
          <w:lang w:val="sr"/>
        </w:rPr>
        <w:t xml:space="preserve"> Специјалн</w:t>
      </w:r>
      <w:r w:rsidR="0069213C">
        <w:rPr>
          <w:rFonts w:ascii="Calibri" w:hAnsi="Calibri" w:cs="Calibri"/>
          <w:lang w:val="sr-Cyrl-RS"/>
        </w:rPr>
        <w:t>а</w:t>
      </w:r>
      <w:r>
        <w:rPr>
          <w:rFonts w:ascii="Acumin Pro" w:hAnsi="Acumin Pro"/>
          <w:lang w:val="sr"/>
        </w:rPr>
        <w:t xml:space="preserve"> </w:t>
      </w:r>
      <w:r w:rsidR="0069213C">
        <w:rPr>
          <w:rFonts w:ascii="Calibri" w:hAnsi="Calibri" w:cs="Calibri"/>
          <w:lang w:val="sr-Cyrl-RS"/>
        </w:rPr>
        <w:t>известитељка</w:t>
      </w:r>
      <w:r w:rsidR="0069213C">
        <w:rPr>
          <w:rFonts w:ascii="Acumin Pro" w:hAnsi="Acumin Pro"/>
          <w:lang w:val="sr"/>
        </w:rPr>
        <w:t xml:space="preserve"> </w:t>
      </w:r>
      <w:r>
        <w:rPr>
          <w:rFonts w:ascii="Acumin Pro" w:hAnsi="Acumin Pro"/>
          <w:lang w:val="sr"/>
        </w:rPr>
        <w:t>за право на адекватно становање, након своје мисије 2015. године, препоручила је Србији, између осталог, да: „стави већи акценат на развој социјалног становања и обезбеди његову доступност онима којима је то потребно”, као и да „регулише и субвенционише трошкове везане за становање, укључујући комуналије и порезе за појединце и домаћинства са ниским приходима, како би се одговорило на нивое приступачности и како би се осигурало да нико не остане бескућник због заосталих обавеза”.</w:t>
      </w:r>
      <w:r>
        <w:rPr>
          <w:rStyle w:val="FootnoteReference"/>
          <w:rFonts w:ascii="Acumin Pro" w:hAnsi="Acumin Pro"/>
          <w:lang w:val="sr"/>
        </w:rPr>
        <w:footnoteReference w:id="58"/>
      </w:r>
      <w:r>
        <w:rPr>
          <w:rFonts w:ascii="Acumin Pro" w:hAnsi="Acumin Pro"/>
          <w:lang w:val="sr"/>
        </w:rPr>
        <w:t xml:space="preserve"> Међутим, ове препоруке нису спроведене од 2016. Поред тога, Србија такође није усвојила Националну стамбену стратегију засновану на правима више од четири године након законског рока за њено усвајање.</w:t>
      </w:r>
      <w:r>
        <w:rPr>
          <w:rStyle w:val="FootnoteReference"/>
          <w:rFonts w:ascii="Acumin Pro" w:hAnsi="Acumin Pro"/>
          <w:lang w:val="sr"/>
        </w:rPr>
        <w:footnoteReference w:id="59"/>
      </w:r>
      <w:r>
        <w:rPr>
          <w:rFonts w:ascii="Acumin Pro" w:hAnsi="Acumin Pro"/>
          <w:lang w:val="sr"/>
        </w:rPr>
        <w:t xml:space="preserve"> У међувремену, не постоји системски приступ за </w:t>
      </w:r>
      <w:r w:rsidR="0069213C">
        <w:rPr>
          <w:rFonts w:ascii="Calibri" w:hAnsi="Calibri" w:cs="Calibri"/>
          <w:lang w:val="sr-Cyrl-RS"/>
        </w:rPr>
        <w:t xml:space="preserve">унапређење </w:t>
      </w:r>
      <w:r>
        <w:rPr>
          <w:rFonts w:ascii="Acumin Pro" w:hAnsi="Acumin Pro"/>
          <w:lang w:val="sr"/>
        </w:rPr>
        <w:t>услов</w:t>
      </w:r>
      <w:r w:rsidR="0069213C">
        <w:rPr>
          <w:rFonts w:ascii="Calibri" w:hAnsi="Calibri" w:cs="Calibri"/>
          <w:lang w:val="sr-Cyrl-RS"/>
        </w:rPr>
        <w:t>а</w:t>
      </w:r>
      <w:r>
        <w:rPr>
          <w:rFonts w:ascii="Acumin Pro" w:hAnsi="Acumin Pro"/>
          <w:lang w:val="sr"/>
        </w:rPr>
        <w:t xml:space="preserve"> живота у више од 700 неформалних ромских насеља.</w:t>
      </w:r>
      <w:r>
        <w:rPr>
          <w:rStyle w:val="FootnoteReference"/>
          <w:rFonts w:ascii="Acumin Pro" w:hAnsi="Acumin Pro"/>
          <w:lang w:val="sr"/>
        </w:rPr>
        <w:footnoteReference w:id="60"/>
      </w:r>
      <w:r>
        <w:rPr>
          <w:rFonts w:ascii="Acumin Pro" w:hAnsi="Acumin Pro"/>
          <w:lang w:val="sr"/>
        </w:rPr>
        <w:t xml:space="preserve"> Међутим, „значајна средства су уложена да би се </w:t>
      </w:r>
      <w:r>
        <w:rPr>
          <w:rFonts w:ascii="Acumin Pro" w:hAnsi="Acumin Pro"/>
          <w:lang w:val="sr"/>
        </w:rPr>
        <w:lastRenderedPageBreak/>
        <w:t>задовољиле стамбене потребе неких категорија становништва”.</w:t>
      </w:r>
      <w:r>
        <w:rPr>
          <w:rStyle w:val="FootnoteReference"/>
          <w:rFonts w:ascii="Acumin Pro" w:hAnsi="Acumin Pro"/>
          <w:lang w:val="sr"/>
        </w:rPr>
        <w:footnoteReference w:id="61"/>
      </w:r>
      <w:r>
        <w:rPr>
          <w:rFonts w:ascii="Acumin Pro" w:hAnsi="Acumin Pro"/>
          <w:lang w:val="sr"/>
        </w:rPr>
        <w:t xml:space="preserve"> Законом о посебним условима за реализацију пројекта изградње станова за припаднике снага безбедности</w:t>
      </w:r>
      <w:r>
        <w:rPr>
          <w:rStyle w:val="FootnoteReference"/>
          <w:rFonts w:ascii="Acumin Pro" w:hAnsi="Acumin Pro"/>
          <w:lang w:val="sr"/>
        </w:rPr>
        <w:footnoteReference w:id="62"/>
      </w:r>
      <w:r>
        <w:rPr>
          <w:rFonts w:ascii="Acumin Pro" w:hAnsi="Acumin Pro"/>
          <w:lang w:val="sr"/>
        </w:rPr>
        <w:t xml:space="preserve"> прописани су посебни услови под којима припадници Министарства одбране, Војске Србије, Министарства унутрашњих послова, Безбедносно-информативне агенције и Министарства правде – Управа за извршење кривичних санкција, </w:t>
      </w:r>
      <w:r w:rsidR="0069213C">
        <w:rPr>
          <w:rFonts w:ascii="Calibri" w:hAnsi="Calibri" w:cs="Calibri"/>
          <w:lang w:val="sr-Cyrl-RS"/>
        </w:rPr>
        <w:t>и</w:t>
      </w:r>
      <w:r>
        <w:rPr>
          <w:rFonts w:ascii="Acumin Pro" w:hAnsi="Acumin Pro"/>
          <w:lang w:val="sr"/>
        </w:rPr>
        <w:t xml:space="preserve"> бивши припадници снага безбедности који су право на пензију стекли у некој од ових </w:t>
      </w:r>
      <w:r w:rsidR="0069213C">
        <w:rPr>
          <w:rFonts w:ascii="Calibri" w:hAnsi="Calibri" w:cs="Calibri"/>
          <w:lang w:val="sr-Cyrl-RS"/>
        </w:rPr>
        <w:t>служби</w:t>
      </w:r>
      <w:r w:rsidR="0069213C">
        <w:rPr>
          <w:rFonts w:ascii="Acumin Pro" w:hAnsi="Acumin Pro"/>
          <w:lang w:val="sr"/>
        </w:rPr>
        <w:t xml:space="preserve"> </w:t>
      </w:r>
      <w:r>
        <w:rPr>
          <w:rFonts w:ascii="Acumin Pro" w:hAnsi="Acumin Pro"/>
          <w:lang w:val="sr"/>
        </w:rPr>
        <w:t>могу да купе станове по повлашћеним ценама. Износ јавне потрошње за овај стамбени програм знатно је већи од укупног буџета за социјално становање у Србији, а последња информација је била да је Влада за његову реализацију издвојила 64 милиона евра.</w:t>
      </w:r>
      <w:r>
        <w:rPr>
          <w:rStyle w:val="FootnoteReference"/>
          <w:rFonts w:ascii="Acumin Pro" w:hAnsi="Acumin Pro"/>
          <w:lang w:val="sr"/>
        </w:rPr>
        <w:footnoteReference w:id="63"/>
      </w:r>
      <w:r>
        <w:rPr>
          <w:rFonts w:ascii="Acumin Pro" w:hAnsi="Acumin Pro"/>
          <w:lang w:val="sr"/>
        </w:rPr>
        <w:t xml:space="preserve"> </w:t>
      </w:r>
    </w:p>
    <w:p w14:paraId="4C2D7C61" w14:textId="043F34A4" w:rsidR="00D067B4" w:rsidRPr="00C479D3" w:rsidRDefault="00D067B4" w:rsidP="00E60859">
      <w:pPr>
        <w:pStyle w:val="Heading3"/>
        <w:ind w:left="-426" w:right="-613"/>
        <w:rPr>
          <w:rFonts w:ascii="Calibri" w:hAnsi="Calibri" w:cs="Calibri"/>
          <w:b/>
          <w:bCs/>
          <w:color w:val="auto"/>
          <w:lang w:val="sr-Cyrl-RS"/>
        </w:rPr>
      </w:pPr>
      <w:bookmarkStart w:id="17" w:name="_Toc93918931"/>
      <w:r>
        <w:rPr>
          <w:rFonts w:ascii="Acumin Pro" w:hAnsi="Acumin Pro"/>
          <w:b/>
          <w:bCs/>
          <w:color w:val="auto"/>
          <w:lang w:val="sr"/>
        </w:rPr>
        <w:t xml:space="preserve">Ситуација особа које живе </w:t>
      </w:r>
      <w:bookmarkEnd w:id="17"/>
      <w:r w:rsidR="0069213C">
        <w:rPr>
          <w:rFonts w:ascii="Calibri" w:hAnsi="Calibri" w:cs="Calibri"/>
          <w:b/>
          <w:bCs/>
          <w:color w:val="auto"/>
          <w:lang w:val="sr-Cyrl-RS"/>
        </w:rPr>
        <w:t>у стању бескућништва</w:t>
      </w:r>
    </w:p>
    <w:p w14:paraId="0809845C" w14:textId="77777777" w:rsidR="00D067B4" w:rsidRPr="00D067B4" w:rsidRDefault="00D067B4" w:rsidP="00E60859">
      <w:pPr>
        <w:ind w:left="-426" w:right="-613"/>
      </w:pPr>
    </w:p>
    <w:p w14:paraId="70277F35" w14:textId="77777777" w:rsidR="00BD7DDA" w:rsidRPr="007F2696" w:rsidRDefault="00BD7DDA" w:rsidP="00E60859">
      <w:pPr>
        <w:pStyle w:val="Heading4"/>
        <w:numPr>
          <w:ilvl w:val="0"/>
          <w:numId w:val="18"/>
        </w:numPr>
        <w:ind w:left="-426" w:right="-613"/>
        <w:rPr>
          <w:rFonts w:ascii="Acumin Pro" w:hAnsi="Acumin Pro"/>
          <w:b/>
          <w:bCs/>
          <w:color w:val="auto"/>
          <w:sz w:val="22"/>
          <w:szCs w:val="22"/>
        </w:rPr>
      </w:pPr>
      <w:r>
        <w:rPr>
          <w:rFonts w:ascii="Acumin Pro" w:hAnsi="Acumin Pro"/>
          <w:i w:val="0"/>
          <w:iCs w:val="0"/>
          <w:color w:val="auto"/>
          <w:sz w:val="22"/>
          <w:szCs w:val="22"/>
          <w:lang w:val="sr"/>
        </w:rPr>
        <w:t xml:space="preserve"> </w:t>
      </w:r>
      <w:r>
        <w:rPr>
          <w:rFonts w:ascii="Acumin Pro" w:hAnsi="Acumin Pro"/>
          <w:b/>
          <w:bCs/>
          <w:color w:val="auto"/>
          <w:sz w:val="22"/>
          <w:szCs w:val="22"/>
          <w:lang w:val="sr"/>
        </w:rPr>
        <w:t>Недостатак података</w:t>
      </w:r>
    </w:p>
    <w:p w14:paraId="36480087" w14:textId="48394B83" w:rsidR="00BD7DDA" w:rsidRPr="004A0D50" w:rsidRDefault="00BD7DDA" w:rsidP="00E60859">
      <w:pPr>
        <w:pStyle w:val="ListParagraph"/>
        <w:numPr>
          <w:ilvl w:val="0"/>
          <w:numId w:val="19"/>
        </w:numPr>
        <w:ind w:left="-426" w:right="-613"/>
        <w:jc w:val="both"/>
        <w:rPr>
          <w:rFonts w:ascii="Acumin Pro" w:hAnsi="Acumin Pro" w:cstheme="minorHAnsi"/>
          <w:bCs/>
          <w:color w:val="000000"/>
        </w:rPr>
      </w:pPr>
      <w:r>
        <w:rPr>
          <w:rFonts w:ascii="Acumin Pro" w:hAnsi="Acumin Pro" w:cstheme="minorHAnsi"/>
          <w:color w:val="000000"/>
          <w:lang w:val="sr"/>
        </w:rPr>
        <w:t xml:space="preserve">Не постоје поуздани подаци о броју људи који живе </w:t>
      </w:r>
      <w:r w:rsidR="0069213C">
        <w:rPr>
          <w:rFonts w:ascii="Calibri" w:hAnsi="Calibri" w:cs="Calibri"/>
          <w:color w:val="000000"/>
          <w:lang w:val="sr-Cyrl-RS"/>
        </w:rPr>
        <w:t>у стању бескућништва</w:t>
      </w:r>
      <w:r>
        <w:rPr>
          <w:rFonts w:ascii="Acumin Pro" w:hAnsi="Acumin Pro" w:cstheme="minorHAnsi"/>
          <w:color w:val="000000"/>
          <w:lang w:val="sr"/>
        </w:rPr>
        <w:t xml:space="preserve"> у Србији. Национални попис становништва спроведен 2011. године по први пут је констатовао „примарне бескућнике”, означавајући их као оне који спавају на отвореном, живе директно на улици, у парковима, испод мостова итд. Друга група бескућника коју је методологија пописа препознала били су „секундарни бескућници” – особе које живе у објектима настањеним из нужде, као што су шупе, бараке, приколице, вагони, подруми, шатори. Пописом је евидентирано укупно 445 примарних и 17.842 секундарних бескућника.</w:t>
      </w:r>
      <w:r>
        <w:rPr>
          <w:rStyle w:val="FootnoteReference"/>
          <w:rFonts w:ascii="Acumin Pro" w:hAnsi="Acumin Pro" w:cstheme="minorHAnsi"/>
          <w:color w:val="000000"/>
          <w:lang w:val="sr"/>
        </w:rPr>
        <w:footnoteReference w:id="64"/>
      </w:r>
      <w:r>
        <w:rPr>
          <w:rFonts w:ascii="Acumin Pro" w:hAnsi="Acumin Pro" w:cstheme="minorHAnsi"/>
          <w:color w:val="000000"/>
          <w:lang w:val="sr"/>
        </w:rPr>
        <w:t xml:space="preserve"> Већина њих се налазила у Београду. Међутим, Републички завод за статистику у својим извештајима наводи да ови статистички подаци нису прикупљени на потпуно поуздан начин, да се није дошло до великог броја људи који живе </w:t>
      </w:r>
      <w:r w:rsidR="0069213C">
        <w:rPr>
          <w:rFonts w:ascii="Calibri" w:hAnsi="Calibri" w:cs="Calibri"/>
          <w:color w:val="000000"/>
          <w:lang w:val="sr-Cyrl-RS"/>
        </w:rPr>
        <w:t>у ситуацији бескућништва</w:t>
      </w:r>
      <w:r>
        <w:rPr>
          <w:rFonts w:ascii="Acumin Pro" w:hAnsi="Acumin Pro" w:cstheme="minorHAnsi"/>
          <w:color w:val="000000"/>
          <w:lang w:val="sr"/>
        </w:rPr>
        <w:t xml:space="preserve"> и да бројке не представљају реалну ситуацију.</w:t>
      </w:r>
      <w:r>
        <w:rPr>
          <w:rStyle w:val="FootnoteReference"/>
          <w:rFonts w:ascii="Acumin Pro" w:hAnsi="Acumin Pro" w:cstheme="minorHAnsi"/>
          <w:color w:val="000000"/>
          <w:lang w:val="sr"/>
        </w:rPr>
        <w:footnoteReference w:id="65"/>
      </w:r>
      <w:r>
        <w:rPr>
          <w:rFonts w:ascii="Acumin Pro" w:hAnsi="Acumin Pro" w:cstheme="minorHAnsi"/>
          <w:color w:val="000000"/>
          <w:lang w:val="sr"/>
        </w:rPr>
        <w:t xml:space="preserve"> </w:t>
      </w:r>
    </w:p>
    <w:p w14:paraId="034900A8" w14:textId="70D183D1" w:rsidR="00BD7DDA" w:rsidRPr="004A0D50" w:rsidRDefault="004A0D50" w:rsidP="00E60859">
      <w:pPr>
        <w:pStyle w:val="ListParagraph"/>
        <w:numPr>
          <w:ilvl w:val="0"/>
          <w:numId w:val="19"/>
        </w:numPr>
        <w:ind w:left="-426" w:right="-613"/>
        <w:jc w:val="both"/>
        <w:rPr>
          <w:rFonts w:ascii="Acumin Pro" w:hAnsi="Acumin Pro" w:cstheme="minorHAnsi"/>
          <w:bCs/>
          <w:color w:val="000000"/>
        </w:rPr>
      </w:pPr>
      <w:r>
        <w:rPr>
          <w:rFonts w:ascii="Acumin Pro" w:hAnsi="Acumin Pro" w:cstheme="minorHAnsi"/>
          <w:color w:val="000000"/>
          <w:lang w:val="sr"/>
        </w:rPr>
        <w:t>Будући да не постоје поуздани подаци, не постоје ни адекватне политике које се баве овим питањем. Тачније, не постоје националне, регионалне или локалне стратегије које специфично циљају комплексност бескућништва, већ само спорадичне интервенције на нивоу општина/градова, као што је отварање дневних центара током зиме. Као што је примети</w:t>
      </w:r>
      <w:r w:rsidR="0069213C">
        <w:rPr>
          <w:rFonts w:ascii="Calibri" w:hAnsi="Calibri" w:cs="Calibri"/>
          <w:color w:val="000000"/>
          <w:lang w:val="sr-Cyrl-RS"/>
        </w:rPr>
        <w:t>ла</w:t>
      </w:r>
      <w:r>
        <w:rPr>
          <w:rFonts w:ascii="Acumin Pro" w:hAnsi="Acumin Pro" w:cstheme="minorHAnsi"/>
          <w:color w:val="000000"/>
          <w:lang w:val="sr"/>
        </w:rPr>
        <w:t xml:space="preserve"> Специјалн</w:t>
      </w:r>
      <w:r w:rsidR="0069213C">
        <w:rPr>
          <w:rFonts w:ascii="Calibri" w:hAnsi="Calibri" w:cs="Calibri"/>
          <w:color w:val="000000"/>
          <w:lang w:val="sr-Cyrl-RS"/>
        </w:rPr>
        <w:t>а</w:t>
      </w:r>
      <w:r>
        <w:rPr>
          <w:rFonts w:ascii="Acumin Pro" w:hAnsi="Acumin Pro" w:cstheme="minorHAnsi"/>
          <w:color w:val="000000"/>
          <w:lang w:val="sr"/>
        </w:rPr>
        <w:t xml:space="preserve"> извести</w:t>
      </w:r>
      <w:r w:rsidR="0069213C">
        <w:rPr>
          <w:rFonts w:ascii="Calibri" w:hAnsi="Calibri" w:cs="Calibri"/>
          <w:color w:val="000000"/>
          <w:lang w:val="sr-Cyrl-RS"/>
        </w:rPr>
        <w:t>тљка</w:t>
      </w:r>
      <w:r>
        <w:rPr>
          <w:rFonts w:ascii="Acumin Pro" w:hAnsi="Acumin Pro" w:cstheme="minorHAnsi"/>
          <w:color w:val="000000"/>
          <w:lang w:val="sr"/>
        </w:rPr>
        <w:t xml:space="preserve"> за адекватно становање – не постоји законска обавеза било ког јавног органа да делује како би решио или спречио бескућништво.</w:t>
      </w:r>
      <w:r>
        <w:rPr>
          <w:rStyle w:val="FootnoteReference"/>
          <w:rFonts w:ascii="Acumin Pro" w:hAnsi="Acumin Pro" w:cstheme="minorHAnsi"/>
          <w:color w:val="000000"/>
          <w:lang w:val="sr"/>
        </w:rPr>
        <w:footnoteReference w:id="66"/>
      </w:r>
      <w:r>
        <w:rPr>
          <w:rFonts w:ascii="Acumin Pro" w:hAnsi="Acumin Pro" w:cstheme="minorHAnsi"/>
          <w:color w:val="000000"/>
          <w:lang w:val="sr"/>
        </w:rPr>
        <w:t xml:space="preserve">  </w:t>
      </w:r>
    </w:p>
    <w:p w14:paraId="22AAD6B2" w14:textId="77777777" w:rsidR="00BD7DDA" w:rsidRPr="004A0D50" w:rsidRDefault="00BD7DDA" w:rsidP="00E60859">
      <w:pPr>
        <w:pStyle w:val="ListParagraph"/>
        <w:numPr>
          <w:ilvl w:val="0"/>
          <w:numId w:val="19"/>
        </w:numPr>
        <w:ind w:left="-426" w:right="-613"/>
        <w:jc w:val="both"/>
        <w:rPr>
          <w:rFonts w:ascii="Acumin Pro" w:hAnsi="Acumin Pro" w:cstheme="minorHAnsi"/>
          <w:bCs/>
          <w:color w:val="000000"/>
        </w:rPr>
      </w:pPr>
      <w:r>
        <w:rPr>
          <w:rFonts w:ascii="Acumin Pro" w:hAnsi="Acumin Pro" w:cstheme="minorHAnsi"/>
          <w:color w:val="000000"/>
          <w:lang w:val="sr"/>
        </w:rPr>
        <w:t xml:space="preserve">Национални попис треба да се одржи у октобру 2022. године, и иако за сада нема назнака да ће методологија бити модификована како би се боље бавила бескућништвом, ово је прилика да се интервенише и учини да бескућници буду видљивији као корак напред у уграђивању овог озбиљног социјалног питања у будуће јавне политике. Ригорознијом применом Европске типологије бескућништва (ЕТХОС) боље би се препознала сложеност и обим овог озбиљног друштвеног проблема. Дакле, ово би могло да помогне у изради политика које би се бавиле структуралним узроцима бескућништва у Србији: повећањем ризика од сиромаштва и социјалне искључености, карактеристикама тржишта станова и недостатком социјалног становања, </w:t>
      </w:r>
      <w:r>
        <w:rPr>
          <w:rFonts w:ascii="Acumin Pro" w:hAnsi="Acumin Pro" w:cstheme="minorHAnsi"/>
          <w:color w:val="000000"/>
          <w:lang w:val="sr"/>
        </w:rPr>
        <w:lastRenderedPageBreak/>
        <w:t>неадекватним капацитетима система социјалне заштите.</w:t>
      </w:r>
      <w:r>
        <w:rPr>
          <w:rStyle w:val="FootnoteReference"/>
          <w:rFonts w:ascii="Acumin Pro" w:hAnsi="Acumin Pro" w:cstheme="minorHAnsi"/>
          <w:color w:val="000000"/>
          <w:lang w:val="sr"/>
        </w:rPr>
        <w:footnoteReference w:id="67"/>
      </w:r>
      <w:r>
        <w:rPr>
          <w:rFonts w:ascii="Acumin Pro" w:hAnsi="Acumin Pro" w:cstheme="minorHAnsi"/>
          <w:color w:val="000000"/>
          <w:lang w:val="sr"/>
        </w:rPr>
        <w:t xml:space="preserve"> Примена ЕТХОС-а је препоручена у Националној стратегији социјалног становања</w:t>
      </w:r>
      <w:r>
        <w:rPr>
          <w:rStyle w:val="FootnoteReference"/>
          <w:rFonts w:ascii="Acumin Pro" w:hAnsi="Acumin Pro" w:cstheme="minorHAnsi"/>
          <w:color w:val="000000"/>
          <w:lang w:val="sr"/>
        </w:rPr>
        <w:footnoteReference w:id="68"/>
      </w:r>
      <w:r>
        <w:rPr>
          <w:rFonts w:ascii="Acumin Pro" w:hAnsi="Acumin Pro" w:cstheme="minorHAnsi"/>
          <w:color w:val="000000"/>
          <w:lang w:val="sr"/>
        </w:rPr>
        <w:t xml:space="preserve"> из 2012. године, али никакве активности у овом правцу нису предузете. </w:t>
      </w:r>
    </w:p>
    <w:p w14:paraId="0EFB1DD9" w14:textId="77777777" w:rsidR="00D067B4" w:rsidRPr="007F2696" w:rsidRDefault="00BD7DDA" w:rsidP="00E60859">
      <w:pPr>
        <w:pStyle w:val="Heading4"/>
        <w:numPr>
          <w:ilvl w:val="0"/>
          <w:numId w:val="18"/>
        </w:numPr>
        <w:ind w:left="-426" w:right="-613"/>
        <w:rPr>
          <w:rFonts w:ascii="Acumin Pro" w:hAnsi="Acumin Pro"/>
          <w:b/>
          <w:bCs/>
          <w:color w:val="auto"/>
          <w:sz w:val="22"/>
          <w:szCs w:val="22"/>
        </w:rPr>
      </w:pPr>
      <w:r>
        <w:rPr>
          <w:rFonts w:ascii="Acumin Pro" w:hAnsi="Acumin Pro"/>
          <w:b/>
          <w:bCs/>
          <w:color w:val="auto"/>
          <w:sz w:val="22"/>
          <w:szCs w:val="22"/>
          <w:lang w:val="sr"/>
        </w:rPr>
        <w:t>Приступ личним документима</w:t>
      </w:r>
    </w:p>
    <w:p w14:paraId="52B4B445" w14:textId="77777777" w:rsidR="004A0D50" w:rsidRDefault="00BD7DDA" w:rsidP="00E60859">
      <w:pPr>
        <w:pStyle w:val="ListParagraph"/>
        <w:numPr>
          <w:ilvl w:val="0"/>
          <w:numId w:val="19"/>
        </w:numPr>
        <w:ind w:left="-426" w:right="-613"/>
        <w:jc w:val="both"/>
        <w:rPr>
          <w:rFonts w:ascii="Acumin Pro" w:hAnsi="Acumin Pro" w:cstheme="minorHAnsi"/>
          <w:bCs/>
          <w:color w:val="000000"/>
        </w:rPr>
      </w:pPr>
      <w:r>
        <w:rPr>
          <w:rFonts w:ascii="Acumin Pro" w:hAnsi="Acumin Pro" w:cstheme="minorHAnsi"/>
          <w:color w:val="000000"/>
          <w:lang w:val="sr"/>
        </w:rPr>
        <w:t>Један од најчешћих проблема бескућника у Србији су системске препреке у добијању личних докумената. Године 2011. чланом 11. Закона о пребивалишту и боравишту грађана</w:t>
      </w:r>
      <w:r>
        <w:rPr>
          <w:rStyle w:val="FootnoteReference"/>
          <w:rFonts w:ascii="Acumin Pro" w:hAnsi="Acumin Pro" w:cstheme="minorHAnsi"/>
          <w:color w:val="000000"/>
          <w:lang w:val="sr"/>
        </w:rPr>
        <w:footnoteReference w:id="69"/>
      </w:r>
      <w:r>
        <w:rPr>
          <w:rFonts w:ascii="Acumin Pro" w:hAnsi="Acumin Pro" w:cstheme="minorHAnsi"/>
          <w:color w:val="000000"/>
          <w:lang w:val="sr"/>
        </w:rPr>
        <w:t xml:space="preserve"> уведена је могућност пријаве пребивалишта или боравишта на адреси центра за социјални рад за лица која немају дом, односно лица без законског доказа о становању. Међутим, иако је прошло 10 година, у пракси све организације које подносе овај извештај и даље наилазе на бројне препреке док помажу својим корисницима у покушају да пријаве пребивалиште у складу са овим законским одредбама.</w:t>
      </w:r>
    </w:p>
    <w:p w14:paraId="79749BDF" w14:textId="77777777" w:rsidR="004A0D50" w:rsidRDefault="00BD7DDA" w:rsidP="00E60859">
      <w:pPr>
        <w:pStyle w:val="ListParagraph"/>
        <w:numPr>
          <w:ilvl w:val="0"/>
          <w:numId w:val="19"/>
        </w:numPr>
        <w:ind w:left="-426" w:right="-613"/>
        <w:jc w:val="both"/>
        <w:rPr>
          <w:rFonts w:ascii="Acumin Pro" w:hAnsi="Acumin Pro" w:cstheme="minorHAnsi"/>
          <w:bCs/>
          <w:color w:val="000000"/>
        </w:rPr>
      </w:pPr>
      <w:r>
        <w:rPr>
          <w:rFonts w:ascii="Acumin Pro" w:hAnsi="Acumin Pro" w:cstheme="minorHAnsi"/>
          <w:color w:val="000000"/>
          <w:lang w:val="sr"/>
        </w:rPr>
        <w:t>Ово се примарно дешава због некоординисане, недоследне и дискриминаторне праксе појединих центара за социјални рад и полицијских станица</w:t>
      </w:r>
      <w:r>
        <w:rPr>
          <w:rStyle w:val="FootnoteReference"/>
          <w:rFonts w:ascii="Acumin Pro" w:hAnsi="Acumin Pro" w:cstheme="minorHAnsi"/>
          <w:color w:val="000000"/>
          <w:lang w:val="sr"/>
        </w:rPr>
        <w:footnoteReference w:id="70"/>
      </w:r>
      <w:r>
        <w:rPr>
          <w:rFonts w:ascii="Acumin Pro" w:hAnsi="Acumin Pro" w:cstheme="minorHAnsi"/>
          <w:color w:val="000000"/>
          <w:lang w:val="sr"/>
        </w:rPr>
        <w:t>, који често арбитрарно одлучују о праву лица да се пријаве на адреси ЦСР. Центрима за социјални рад систематски недостају кадровски и стручни капацитети за рад, а једна од последица је и неспремност да се „оптерећују” пријављивањем лица без законског доказа о становању на њиховој адреси.</w:t>
      </w:r>
      <w:r>
        <w:rPr>
          <w:rStyle w:val="FootnoteReference"/>
          <w:rFonts w:ascii="Acumin Pro" w:hAnsi="Acumin Pro" w:cstheme="minorHAnsi"/>
          <w:color w:val="000000"/>
          <w:lang w:val="sr"/>
        </w:rPr>
        <w:footnoteReference w:id="71"/>
      </w:r>
      <w:r>
        <w:rPr>
          <w:rFonts w:ascii="Acumin Pro" w:hAnsi="Acumin Pro" w:cstheme="minorHAnsi"/>
          <w:color w:val="000000"/>
          <w:lang w:val="sr"/>
        </w:rPr>
        <w:t xml:space="preserve"> Као разлог одбијања наводе прилично неуверљиве разлоге – на пример да је бескућник пријавио боравак у напуштеној згради, за коју центар процењује да ће се срушити и да ће због тога у једном тренутку у будућности морати да промени општину у којој има пребивалиште или боравиште, чиме ће изаћи из надлежности тог конкретног центра за социјални рад.</w:t>
      </w:r>
    </w:p>
    <w:p w14:paraId="098CADEE" w14:textId="77777777" w:rsidR="00BD7DDA" w:rsidRPr="00D217A0" w:rsidRDefault="0036495E" w:rsidP="00E60859">
      <w:pPr>
        <w:pStyle w:val="ListParagraph"/>
        <w:numPr>
          <w:ilvl w:val="0"/>
          <w:numId w:val="19"/>
        </w:numPr>
        <w:ind w:left="-426" w:right="-613"/>
        <w:jc w:val="both"/>
        <w:rPr>
          <w:rFonts w:ascii="Acumin Pro" w:hAnsi="Acumin Pro" w:cstheme="minorHAnsi"/>
          <w:bCs/>
          <w:color w:val="000000"/>
        </w:rPr>
      </w:pPr>
      <w:r>
        <w:rPr>
          <w:rFonts w:ascii="Acumin Pro" w:hAnsi="Acumin Pro" w:cstheme="minorHAnsi"/>
          <w:color w:val="000000"/>
          <w:lang w:val="sr"/>
        </w:rPr>
        <w:t xml:space="preserve">Пријава пребивалишта је предуслов за добијање личних докумената, а она су предуслов за остваривање низа економских и социјалних права, као што су приступ различитим врстама социјалне заштите и социјалних услуга (оброци у народним кухињама, новчана социјална помоћ, смештај у установама социјалне заштите), приступ здравственом систему, могућност легалног запошљавања итд. ОЦД активне у овој области наводе да поступак пријаве пребивалишта на адреси ЦСР траје од 3 до више од 12 месеци – остављајући бескућнике без подршке центара за социјални рад и без могућности задовољавања основних потреба. </w:t>
      </w:r>
    </w:p>
    <w:p w14:paraId="74F936EF" w14:textId="77777777" w:rsidR="00BD7DDA" w:rsidRPr="007F2696" w:rsidRDefault="00BD7DDA" w:rsidP="00E60859">
      <w:pPr>
        <w:pStyle w:val="Heading4"/>
        <w:numPr>
          <w:ilvl w:val="0"/>
          <w:numId w:val="18"/>
        </w:numPr>
        <w:ind w:left="-426" w:right="-613"/>
        <w:rPr>
          <w:rFonts w:ascii="Acumin Pro" w:hAnsi="Acumin Pro"/>
          <w:b/>
          <w:bCs/>
          <w:color w:val="auto"/>
          <w:sz w:val="22"/>
          <w:szCs w:val="22"/>
        </w:rPr>
      </w:pPr>
      <w:r>
        <w:rPr>
          <w:rFonts w:ascii="Acumin Pro" w:hAnsi="Acumin Pro"/>
          <w:b/>
          <w:bCs/>
          <w:color w:val="auto"/>
          <w:sz w:val="22"/>
          <w:szCs w:val="22"/>
          <w:lang w:val="sr"/>
        </w:rPr>
        <w:t>Смештај у установама социјалне заштите</w:t>
      </w:r>
    </w:p>
    <w:p w14:paraId="17BD66DD" w14:textId="30BAE263" w:rsidR="004A0D50" w:rsidRPr="004A0D50" w:rsidRDefault="00BD7DDA" w:rsidP="00E60859">
      <w:pPr>
        <w:pStyle w:val="ListParagraph"/>
        <w:numPr>
          <w:ilvl w:val="0"/>
          <w:numId w:val="19"/>
        </w:numPr>
        <w:ind w:left="-426" w:right="-613"/>
        <w:jc w:val="both"/>
        <w:rPr>
          <w:rFonts w:ascii="Acumin Pro" w:hAnsi="Acumin Pro" w:cstheme="minorHAnsi"/>
          <w:color w:val="000000"/>
        </w:rPr>
      </w:pPr>
      <w:r>
        <w:rPr>
          <w:rFonts w:ascii="Acumin Pro" w:hAnsi="Acumin Pro" w:cstheme="minorHAnsi"/>
          <w:color w:val="000000"/>
          <w:lang w:val="sr"/>
        </w:rPr>
        <w:t xml:space="preserve">И у Београду и у Новом Саду, који су два највећа града у Србији, недостају адекватни и трајни смештајни капацитети за особе које живе </w:t>
      </w:r>
      <w:r w:rsidR="0069213C">
        <w:rPr>
          <w:rFonts w:ascii="Calibri" w:hAnsi="Calibri" w:cs="Calibri"/>
          <w:color w:val="000000"/>
          <w:lang w:val="sr-Cyrl-RS"/>
        </w:rPr>
        <w:t>у ситуацији бескућништва</w:t>
      </w:r>
      <w:r>
        <w:rPr>
          <w:rFonts w:ascii="Acumin Pro" w:hAnsi="Acumin Pro" w:cstheme="minorHAnsi"/>
          <w:color w:val="000000"/>
          <w:lang w:val="sr"/>
        </w:rPr>
        <w:t xml:space="preserve">. Прихватилиште за одрасла и стара лица је једина установа ове врсте у Београду која обезбеђује привремени смештај бескућницима до највише 6 месеци. Приступ Прихватилишту има низ препрека, и то: 1. недовољан број лежајева у одељењу за изолацију (обавезно за улазак у Прихватилиште од марта 2020. године); 2. неадекватни услови у одељењу за изолацију (немогућност коришћења дворишта или било каквог изолованог отвореног простора, дехуманизујуће понашање особља, ограничења топле воде, недостатак било каквог забавног садржаја и сл.); 3. компликоване административне процедуре и критеријуми за улазак у Прихватилиште, због чега нарочито </w:t>
      </w:r>
      <w:r>
        <w:rPr>
          <w:rFonts w:ascii="Acumin Pro" w:hAnsi="Acumin Pro" w:cstheme="minorHAnsi"/>
          <w:color w:val="000000"/>
          <w:lang w:val="sr"/>
        </w:rPr>
        <w:lastRenderedPageBreak/>
        <w:t xml:space="preserve">особе оштећеног здравља и особе са менталним и физичким сметњама не могу да то ураде без помоћи ОЦД; 4. немогућност да се лица без личних докумената квалификују за пријем у Прихватилиште и </w:t>
      </w:r>
      <w:r>
        <w:rPr>
          <w:rFonts w:ascii="Acumin Pro" w:hAnsi="Acumin Pro" w:cstheme="minorHAnsi"/>
          <w:lang w:val="sr"/>
        </w:rPr>
        <w:t>тешкоће за лица са пребивалиштем ван Београда да буду примљена, иако велика већина других локалних самоуправа у Србији нема овакве установе социјалне заштите које обезбеђују смештај.</w:t>
      </w:r>
    </w:p>
    <w:p w14:paraId="581FDF76" w14:textId="77777777" w:rsidR="004A0D50" w:rsidRDefault="00BD7DDA" w:rsidP="00E60859">
      <w:pPr>
        <w:pStyle w:val="ListParagraph"/>
        <w:numPr>
          <w:ilvl w:val="0"/>
          <w:numId w:val="19"/>
        </w:numPr>
        <w:ind w:left="-426" w:right="-613"/>
        <w:jc w:val="both"/>
        <w:rPr>
          <w:rFonts w:ascii="Acumin Pro" w:hAnsi="Acumin Pro" w:cstheme="minorHAnsi"/>
          <w:color w:val="000000"/>
        </w:rPr>
      </w:pPr>
      <w:r>
        <w:rPr>
          <w:rFonts w:ascii="Acumin Pro" w:hAnsi="Acumin Pro" w:cstheme="minorHAnsi"/>
          <w:color w:val="000000"/>
          <w:lang w:val="sr"/>
        </w:rPr>
        <w:t>Из наведених разлога велики број бескућника се налази ван Прихватилишта, иако је према последњим медијским изјавама</w:t>
      </w:r>
      <w:r>
        <w:rPr>
          <w:rStyle w:val="FootnoteReference"/>
          <w:rFonts w:ascii="Acumin Pro" w:hAnsi="Acumin Pro" w:cstheme="minorHAnsi"/>
          <w:color w:val="000000"/>
          <w:lang w:val="sr"/>
        </w:rPr>
        <w:footnoteReference w:id="72"/>
      </w:r>
      <w:r>
        <w:rPr>
          <w:rFonts w:ascii="Acumin Pro" w:hAnsi="Acumin Pro" w:cstheme="minorHAnsi"/>
          <w:color w:val="000000"/>
          <w:lang w:val="sr"/>
        </w:rPr>
        <w:t xml:space="preserve"> представника Секретаријата за социјалну заштиту попуњена само половина кревета од укупно 124 кревета на располагању у два објекта. </w:t>
      </w:r>
    </w:p>
    <w:p w14:paraId="59CC8E07" w14:textId="77777777" w:rsidR="004A0D50" w:rsidRDefault="00BD7DDA" w:rsidP="00E60859">
      <w:pPr>
        <w:pStyle w:val="ListParagraph"/>
        <w:numPr>
          <w:ilvl w:val="0"/>
          <w:numId w:val="19"/>
        </w:numPr>
        <w:ind w:left="-426" w:right="-613"/>
        <w:jc w:val="both"/>
        <w:rPr>
          <w:rFonts w:ascii="Acumin Pro" w:hAnsi="Acumin Pro" w:cstheme="minorHAnsi"/>
          <w:color w:val="000000"/>
        </w:rPr>
      </w:pPr>
      <w:r>
        <w:rPr>
          <w:rFonts w:ascii="Acumin Pro" w:hAnsi="Acumin Pro" w:cstheme="minorHAnsi"/>
          <w:color w:val="000000"/>
          <w:lang w:val="sr"/>
        </w:rPr>
        <w:t xml:space="preserve">Будући да је недостатак адекватног и приступачног смештаја посебно проблематичан у зимским месецима, Секретаријат за социјалну заштиту Града Београда је приступио оснивању привремених дневних центара. Обично постоје отприлике два до три отворена дневна центра, али њихово радно време је веома ограничено на само неколико сати дневно. Штавише, кључна услуга смештаја у Београду која недостаје у садашњем систему социјалне заштите су доступни ноћни центри у којима бескућници могу да спавају, посебно током зиме. </w:t>
      </w:r>
    </w:p>
    <w:p w14:paraId="17718C6B" w14:textId="77777777" w:rsidR="00BD7DDA" w:rsidRPr="004A0D50" w:rsidRDefault="00BD7DDA" w:rsidP="00E60859">
      <w:pPr>
        <w:pStyle w:val="ListParagraph"/>
        <w:numPr>
          <w:ilvl w:val="0"/>
          <w:numId w:val="19"/>
        </w:numPr>
        <w:ind w:left="-426" w:right="-613"/>
        <w:jc w:val="both"/>
        <w:rPr>
          <w:rFonts w:ascii="Acumin Pro" w:hAnsi="Acumin Pro" w:cstheme="minorHAnsi"/>
          <w:color w:val="000000"/>
        </w:rPr>
      </w:pPr>
      <w:r>
        <w:rPr>
          <w:rFonts w:ascii="Acumin Pro" w:hAnsi="Acumin Pro" w:cstheme="minorHAnsi"/>
          <w:color w:val="000000"/>
          <w:lang w:val="sr"/>
        </w:rPr>
        <w:t xml:space="preserve">С друге стране, Град Нови Сад има ноћне центре/контејнере за спавање, али њихов капацитет је само 21 лежај. Осим тога, постоји Прихватилиште за одрасла и стара лица са 60 лежајева и дневни центар који ради током целе године, али без могућности смештаја. Све наведене институције нису у могућности да у потпуности одговоре на потребе бескућника у Новом Саду. Ово је посебно представљало изазов током пандемије КОВИД-19, јер постоји потреба за изолационим јединицама које нису обезбеђене у ноћним центрима, односно контејнерима за спавање. Поред тога, дневни центар у Новом Саду није приступачан бескућницима са физичким инвалидитетом јер нема рампу за инвалидска колица, као ни адекватне тоалете и тушеве. </w:t>
      </w:r>
    </w:p>
    <w:p w14:paraId="7A24B198" w14:textId="77777777" w:rsidR="00BD7DDA" w:rsidRPr="004A0D50" w:rsidRDefault="00BD7DDA" w:rsidP="00E60859">
      <w:pPr>
        <w:pStyle w:val="ListParagraph"/>
        <w:numPr>
          <w:ilvl w:val="0"/>
          <w:numId w:val="19"/>
        </w:numPr>
        <w:ind w:left="-426" w:right="-613"/>
        <w:jc w:val="both"/>
        <w:rPr>
          <w:rFonts w:ascii="Acumin Pro" w:hAnsi="Acumin Pro" w:cstheme="minorHAnsi"/>
        </w:rPr>
      </w:pPr>
      <w:r>
        <w:rPr>
          <w:rFonts w:ascii="Acumin Pro" w:hAnsi="Acumin Pro" w:cstheme="minorHAnsi"/>
          <w:highlight w:val="white"/>
          <w:lang w:val="sr"/>
        </w:rPr>
        <w:t>Један од примера кршења права на адекватно становање лица која живе без крова над главом је Кинеска четврт, некадашњи индустријски комплекс у Граду Новом Саду, који се тренутно реконструише у оквиру пројекта „Нови Сад – Европска престоница културе”.</w:t>
      </w:r>
      <w:r>
        <w:rPr>
          <w:rStyle w:val="FootnoteReference"/>
          <w:rFonts w:ascii="Acumin Pro" w:hAnsi="Acumin Pro" w:cstheme="minorHAnsi"/>
          <w:highlight w:val="white"/>
          <w:lang w:val="sr"/>
        </w:rPr>
        <w:footnoteReference w:id="73"/>
      </w:r>
      <w:r>
        <w:rPr>
          <w:rFonts w:ascii="Acumin Pro" w:hAnsi="Acumin Pro" w:cstheme="minorHAnsi"/>
          <w:highlight w:val="white"/>
          <w:lang w:val="sr"/>
        </w:rPr>
        <w:t xml:space="preserve"> Бескућници су нашли уточиште у овим објектима и у њима живе годинама</w:t>
      </w:r>
      <w:r>
        <w:rPr>
          <w:rFonts w:ascii="Acumin Pro" w:hAnsi="Acumin Pro" w:cstheme="minorHAnsi"/>
          <w:lang w:val="sr"/>
        </w:rPr>
        <w:t>, али Градска управа за грађевинско земљиште и инвестиције, задужена за реконструкцију Кинеске четврти, одбија да достави информације</w:t>
      </w:r>
      <w:r>
        <w:rPr>
          <w:rFonts w:ascii="Acumin Pro" w:hAnsi="Acumin Pro" w:cstheme="minorHAnsi"/>
          <w:highlight w:val="white"/>
          <w:lang w:val="sr"/>
        </w:rPr>
        <w:t xml:space="preserve"> о исељавању бескућника одатле. </w:t>
      </w:r>
    </w:p>
    <w:p w14:paraId="6CBE146B" w14:textId="77777777" w:rsidR="00BD7DDA" w:rsidRPr="004A0D50" w:rsidRDefault="00BD7DDA" w:rsidP="00E60859">
      <w:pPr>
        <w:pStyle w:val="ListParagraph"/>
        <w:numPr>
          <w:ilvl w:val="0"/>
          <w:numId w:val="19"/>
        </w:numPr>
        <w:shd w:val="clear" w:color="auto" w:fill="FFFFFF"/>
        <w:ind w:left="-426" w:right="-613"/>
        <w:jc w:val="both"/>
        <w:rPr>
          <w:rFonts w:ascii="Acumin Pro" w:hAnsi="Acumin Pro" w:cstheme="minorHAnsi"/>
        </w:rPr>
      </w:pPr>
      <w:r>
        <w:rPr>
          <w:rFonts w:ascii="Acumin Pro" w:hAnsi="Acumin Pro" w:cstheme="minorHAnsi"/>
          <w:lang w:val="sr"/>
        </w:rPr>
        <w:t>Будући да је подршка јавних институција неадекватна по обиму и квалитету, већину мрежа подршке бескућницима граде ОЦД. Иако овај недостатак подршке констатује и Министарство за рад, запошљавање, борачка и социјална питања, наводећи да прихватилишта нису распрострањена социјална услуга у Србији и да дневне центре претежно обезбеђује цивилни сектор</w:t>
      </w:r>
      <w:r>
        <w:rPr>
          <w:rStyle w:val="FootnoteReference"/>
          <w:rFonts w:ascii="Acumin Pro" w:hAnsi="Acumin Pro" w:cstheme="minorHAnsi"/>
          <w:lang w:val="sr"/>
        </w:rPr>
        <w:footnoteReference w:id="74"/>
      </w:r>
      <w:r>
        <w:rPr>
          <w:rFonts w:ascii="Acumin Pro" w:hAnsi="Acumin Pro" w:cstheme="minorHAnsi"/>
          <w:lang w:val="sr"/>
        </w:rPr>
        <w:t xml:space="preserve">, капацитети су и даље веома ограничени и није било случајева приступа овом питању заснованог на људским правима.  </w:t>
      </w:r>
    </w:p>
    <w:p w14:paraId="532244FB" w14:textId="77777777" w:rsidR="00BD7DDA" w:rsidRPr="004A0D50" w:rsidRDefault="00BD7DDA" w:rsidP="00E60859">
      <w:pPr>
        <w:pStyle w:val="ListParagraph"/>
        <w:numPr>
          <w:ilvl w:val="0"/>
          <w:numId w:val="19"/>
        </w:numPr>
        <w:spacing w:after="120"/>
        <w:ind w:left="-426" w:right="-613"/>
        <w:jc w:val="both"/>
        <w:rPr>
          <w:rFonts w:ascii="Acumin Pro" w:hAnsi="Acumin Pro" w:cstheme="minorHAnsi"/>
        </w:rPr>
      </w:pPr>
      <w:r>
        <w:rPr>
          <w:rFonts w:ascii="Acumin Pro" w:hAnsi="Acumin Pro" w:cstheme="minorHAnsi"/>
          <w:color w:val="000000"/>
          <w:lang w:val="sr"/>
        </w:rPr>
        <w:t>Нису ово само проблеми Београда и Новог Сада. У истраживању ПИН-а</w:t>
      </w:r>
      <w:r>
        <w:rPr>
          <w:rStyle w:val="FootnoteReference"/>
          <w:rFonts w:ascii="Acumin Pro" w:hAnsi="Acumin Pro" w:cstheme="minorHAnsi"/>
          <w:color w:val="000000"/>
          <w:lang w:val="sr"/>
        </w:rPr>
        <w:footnoteReference w:id="75"/>
      </w:r>
      <w:r>
        <w:rPr>
          <w:rFonts w:ascii="Acumin Pro" w:hAnsi="Acumin Pro" w:cstheme="minorHAnsi"/>
          <w:color w:val="000000"/>
          <w:lang w:val="sr"/>
        </w:rPr>
        <w:t xml:space="preserve"> које је обухватило општине </w:t>
      </w:r>
      <w:r>
        <w:rPr>
          <w:rFonts w:ascii="Acumin Pro" w:hAnsi="Acumin Pro" w:cstheme="minorHAnsi"/>
          <w:lang w:val="sr"/>
        </w:rPr>
        <w:t>Сјеница, Прибој, Ужице, Пландиште, Рума, Мионица, Лајковац, Шид, Пријепоље, Ариље, Крупањ, Косјерић, Лозница, Сремска Митровица и Пећинци,</w:t>
      </w:r>
      <w:r>
        <w:rPr>
          <w:rFonts w:ascii="Acumin Pro" w:hAnsi="Acumin Pro" w:cstheme="minorHAnsi"/>
          <w:color w:val="000000"/>
          <w:lang w:val="sr"/>
        </w:rPr>
        <w:t xml:space="preserve"> примећује се да </w:t>
      </w:r>
      <w:r>
        <w:rPr>
          <w:rFonts w:ascii="Acumin Pro" w:hAnsi="Acumin Pro" w:cstheme="minorHAnsi"/>
          <w:lang w:val="sr"/>
        </w:rPr>
        <w:t>је примарни изазов у ​​погледу бескућништва у већини општина и даље приступ привременом и сталном смештају и приступ документима.</w:t>
      </w:r>
    </w:p>
    <w:p w14:paraId="64BD319D" w14:textId="77777777" w:rsidR="00BD7DDA" w:rsidRPr="00EE14B3" w:rsidRDefault="00BD7DDA" w:rsidP="00E60859">
      <w:pPr>
        <w:pStyle w:val="Heading4"/>
        <w:numPr>
          <w:ilvl w:val="0"/>
          <w:numId w:val="18"/>
        </w:numPr>
        <w:ind w:left="-426" w:right="-613"/>
        <w:rPr>
          <w:rFonts w:ascii="Acumin Pro" w:hAnsi="Acumin Pro"/>
          <w:b/>
          <w:bCs/>
          <w:color w:val="auto"/>
          <w:sz w:val="22"/>
          <w:szCs w:val="22"/>
          <w:highlight w:val="white"/>
        </w:rPr>
      </w:pPr>
      <w:r>
        <w:rPr>
          <w:rFonts w:ascii="Acumin Pro" w:hAnsi="Acumin Pro"/>
          <w:b/>
          <w:bCs/>
          <w:color w:val="auto"/>
          <w:sz w:val="22"/>
          <w:szCs w:val="22"/>
          <w:lang w:val="sr"/>
        </w:rPr>
        <w:lastRenderedPageBreak/>
        <w:t>Ментално здравље и бескућништво</w:t>
      </w:r>
    </w:p>
    <w:p w14:paraId="49254B78" w14:textId="0C8BB461" w:rsidR="00BD7DDA" w:rsidRPr="004A0D50" w:rsidRDefault="00BD7DDA" w:rsidP="00E60859">
      <w:pPr>
        <w:pStyle w:val="ListParagraph"/>
        <w:numPr>
          <w:ilvl w:val="0"/>
          <w:numId w:val="19"/>
        </w:numPr>
        <w:ind w:left="-426" w:right="-613"/>
        <w:jc w:val="both"/>
        <w:rPr>
          <w:rFonts w:ascii="Acumin Pro" w:hAnsi="Acumin Pro" w:cstheme="minorHAnsi"/>
        </w:rPr>
      </w:pPr>
      <w:r>
        <w:rPr>
          <w:rFonts w:ascii="Acumin Pro" w:hAnsi="Acumin Pro" w:cstheme="minorHAnsi"/>
          <w:lang w:val="sr"/>
        </w:rPr>
        <w:t>Према званичним подацима пописа, 44% примарних бескућника има проблема са менталним здрављем.</w:t>
      </w:r>
      <w:r>
        <w:rPr>
          <w:rStyle w:val="FootnoteReference"/>
          <w:rFonts w:ascii="Acumin Pro" w:hAnsi="Acumin Pro" w:cstheme="minorHAnsi"/>
          <w:lang w:val="sr"/>
        </w:rPr>
        <w:footnoteReference w:id="76"/>
      </w:r>
      <w:r>
        <w:rPr>
          <w:rFonts w:ascii="Acumin Pro" w:hAnsi="Acumin Pro" w:cstheme="minorHAnsi"/>
          <w:lang w:val="sr"/>
        </w:rPr>
        <w:t xml:space="preserve"> Кроз рад ОЦД, документовано је да су неке од најчешћих психичких потешкоћа са којима се суочавају бескућници у Србији: симптоми депресије, анксиозности и посттрауматског стресног поремећаја, несанице и зависности од алкохола и дрога. У том контексту, унапређење менталног здравља је релевантно како са аспекта превенције и смањења бескућништва, тако и за побољшање квалитета живота особа које живе </w:t>
      </w:r>
      <w:r w:rsidR="0069213C">
        <w:rPr>
          <w:rFonts w:cstheme="minorHAnsi"/>
          <w:lang w:val="sr-Cyrl-RS"/>
        </w:rPr>
        <w:t>у ситуацији бескућништва</w:t>
      </w:r>
      <w:r>
        <w:rPr>
          <w:rFonts w:ascii="Acumin Pro" w:hAnsi="Acumin Pro" w:cstheme="minorHAnsi"/>
          <w:lang w:val="sr"/>
        </w:rPr>
        <w:t xml:space="preserve"> и остваривање њиховог права на достојанствен живот.</w:t>
      </w:r>
    </w:p>
    <w:p w14:paraId="36CD28F7" w14:textId="270FC4F4" w:rsidR="00BD7DDA" w:rsidRPr="004A0D50" w:rsidRDefault="00BD7DDA" w:rsidP="00E60859">
      <w:pPr>
        <w:pStyle w:val="ListParagraph"/>
        <w:numPr>
          <w:ilvl w:val="0"/>
          <w:numId w:val="19"/>
        </w:numPr>
        <w:ind w:left="-426" w:right="-613"/>
        <w:jc w:val="both"/>
        <w:rPr>
          <w:rFonts w:ascii="Acumin Pro" w:hAnsi="Acumin Pro" w:cstheme="minorHAnsi"/>
        </w:rPr>
      </w:pPr>
      <w:r>
        <w:rPr>
          <w:rFonts w:ascii="Acumin Pro" w:hAnsi="Acumin Pro" w:cstheme="minorHAnsi"/>
          <w:lang w:val="sr"/>
        </w:rPr>
        <w:t xml:space="preserve">Међутим, постоје бројни показатељи који указују на недостатак одговарајуће заштите менталног здравља особа које живе </w:t>
      </w:r>
      <w:r w:rsidR="0069213C">
        <w:rPr>
          <w:rFonts w:ascii="Calibri" w:hAnsi="Calibri" w:cs="Calibri"/>
          <w:lang w:val="sr-Cyrl-RS"/>
        </w:rPr>
        <w:t>у ситуацији бескућништва</w:t>
      </w:r>
      <w:r>
        <w:rPr>
          <w:rFonts w:ascii="Acumin Pro" w:hAnsi="Acumin Pro" w:cstheme="minorHAnsi"/>
          <w:lang w:val="sr"/>
        </w:rPr>
        <w:t xml:space="preserve"> у Србији: 1. недостатак интегрисане политике у вези са питањем заштите менталног здравља особа које живе </w:t>
      </w:r>
      <w:r w:rsidR="0069213C">
        <w:rPr>
          <w:rFonts w:ascii="Calibri" w:hAnsi="Calibri" w:cs="Calibri"/>
          <w:lang w:val="sr-Cyrl-RS"/>
        </w:rPr>
        <w:t>у ситуацији бескућништва</w:t>
      </w:r>
      <w:r>
        <w:rPr>
          <w:rFonts w:ascii="Acumin Pro" w:hAnsi="Acumin Pro" w:cstheme="minorHAnsi"/>
          <w:lang w:val="sr"/>
        </w:rPr>
        <w:t>; 2. услуге подршке за ментално здравље и психосоцијалне подршке (М</w:t>
      </w:r>
      <w:r w:rsidR="0069213C">
        <w:rPr>
          <w:rFonts w:ascii="Calibri" w:hAnsi="Calibri" w:cs="Calibri"/>
          <w:lang w:val="sr-Cyrl-RS"/>
        </w:rPr>
        <w:t>З</w:t>
      </w:r>
      <w:r>
        <w:rPr>
          <w:rFonts w:ascii="Acumin Pro" w:hAnsi="Acumin Pro" w:cstheme="minorHAnsi"/>
          <w:lang w:val="sr"/>
        </w:rPr>
        <w:t>ПС</w:t>
      </w:r>
      <w:r w:rsidR="0069213C">
        <w:rPr>
          <w:rFonts w:ascii="Calibri" w:hAnsi="Calibri" w:cs="Calibri"/>
          <w:lang w:val="sr-Cyrl-RS"/>
        </w:rPr>
        <w:t>П</w:t>
      </w:r>
      <w:r>
        <w:rPr>
          <w:rFonts w:ascii="Acumin Pro" w:hAnsi="Acumin Pro" w:cstheme="minorHAnsi"/>
          <w:lang w:val="sr"/>
        </w:rPr>
        <w:t xml:space="preserve">) углавном пружа ОЦД сектор, било на добровољној бази или на бази краткорочних пројеката, тако да су континуитет и одрживост </w:t>
      </w:r>
      <w:r w:rsidR="0069213C">
        <w:rPr>
          <w:rFonts w:ascii="Calibri" w:hAnsi="Calibri" w:cs="Calibri"/>
          <w:lang w:val="sr-Cyrl-RS"/>
        </w:rPr>
        <w:t>МЗПСП</w:t>
      </w:r>
      <w:r w:rsidR="0069213C">
        <w:rPr>
          <w:rFonts w:ascii="Acumin Pro" w:hAnsi="Acumin Pro" w:cstheme="minorHAnsi"/>
          <w:lang w:val="sr"/>
        </w:rPr>
        <w:t xml:space="preserve"> </w:t>
      </w:r>
      <w:r>
        <w:rPr>
          <w:rFonts w:ascii="Acumin Pro" w:hAnsi="Acumin Pro" w:cstheme="minorHAnsi"/>
          <w:lang w:val="sr"/>
        </w:rPr>
        <w:t xml:space="preserve">доведени у питање; 3. нема претходних студија које процењују и документују: потешкоће везане за ментално здравље људи који живе </w:t>
      </w:r>
      <w:r w:rsidR="0069213C">
        <w:rPr>
          <w:rFonts w:ascii="Calibri" w:hAnsi="Calibri" w:cs="Calibri"/>
          <w:lang w:val="sr-Cyrl-RS"/>
        </w:rPr>
        <w:t>у ситуацији бескућништва</w:t>
      </w:r>
      <w:r w:rsidR="0069213C">
        <w:rPr>
          <w:rFonts w:ascii="Acumin Pro" w:hAnsi="Acumin Pro" w:cstheme="minorHAnsi"/>
          <w:lang w:val="sr"/>
        </w:rPr>
        <w:t xml:space="preserve"> </w:t>
      </w:r>
      <w:r>
        <w:rPr>
          <w:rFonts w:ascii="Acumin Pro" w:hAnsi="Acumin Pro" w:cstheme="minorHAnsi"/>
          <w:lang w:val="sr"/>
        </w:rPr>
        <w:t xml:space="preserve">у Србији, факторе ризика који доводе до бескућништва и излаза из њега из угла оних са проживљеним искуством, нити ефикасност интервенција МХПСС за особе које живе </w:t>
      </w:r>
      <w:r w:rsidR="0069213C">
        <w:rPr>
          <w:rFonts w:ascii="Calibri" w:hAnsi="Calibri" w:cs="Calibri"/>
          <w:lang w:val="sr-Cyrl-RS"/>
        </w:rPr>
        <w:t>у ситуацији бескућништва</w:t>
      </w:r>
      <w:r w:rsidR="0069213C">
        <w:rPr>
          <w:rFonts w:ascii="Acumin Pro" w:hAnsi="Acumin Pro" w:cstheme="minorHAnsi"/>
          <w:lang w:val="sr"/>
        </w:rPr>
        <w:t xml:space="preserve"> </w:t>
      </w:r>
      <w:r>
        <w:rPr>
          <w:rFonts w:ascii="Acumin Pro" w:hAnsi="Acumin Pro" w:cstheme="minorHAnsi"/>
          <w:lang w:val="sr"/>
        </w:rPr>
        <w:t xml:space="preserve">у Србији; 4. људи са проживљеним искуством нису укључени у процес стварања и спровођења програма </w:t>
      </w:r>
      <w:r w:rsidR="0069213C">
        <w:rPr>
          <w:rFonts w:ascii="Calibri" w:hAnsi="Calibri" w:cs="Calibri"/>
          <w:lang w:val="sr-Cyrl-RS"/>
        </w:rPr>
        <w:t>МЗПСП</w:t>
      </w:r>
      <w:r>
        <w:rPr>
          <w:rFonts w:ascii="Acumin Pro" w:hAnsi="Acumin Pro" w:cstheme="minorHAnsi"/>
          <w:lang w:val="sr"/>
        </w:rPr>
        <w:t>.</w:t>
      </w:r>
    </w:p>
    <w:p w14:paraId="77A9548F" w14:textId="5806FE5A" w:rsidR="00BD7DDA" w:rsidRPr="004A0D50" w:rsidRDefault="00BD7DDA" w:rsidP="00E60859">
      <w:pPr>
        <w:pStyle w:val="ListParagraph"/>
        <w:numPr>
          <w:ilvl w:val="0"/>
          <w:numId w:val="19"/>
        </w:numPr>
        <w:ind w:left="-426" w:right="-613"/>
        <w:jc w:val="both"/>
        <w:rPr>
          <w:rFonts w:ascii="Acumin Pro" w:hAnsi="Acumin Pro" w:cstheme="minorHAnsi"/>
        </w:rPr>
      </w:pPr>
      <w:r>
        <w:rPr>
          <w:rFonts w:ascii="Acumin Pro" w:hAnsi="Acumin Pro" w:cstheme="minorHAnsi"/>
          <w:lang w:val="sr"/>
        </w:rPr>
        <w:t>Прелиминарни резултати студије коју је 2022. године спровела НВО ПИН</w:t>
      </w:r>
      <w:r>
        <w:rPr>
          <w:rStyle w:val="FootnoteReference"/>
          <w:rFonts w:ascii="Acumin Pro" w:hAnsi="Acumin Pro" w:cstheme="minorHAnsi"/>
          <w:lang w:val="sr"/>
        </w:rPr>
        <w:footnoteReference w:id="77"/>
      </w:r>
      <w:r>
        <w:rPr>
          <w:rFonts w:ascii="Acumin Pro" w:hAnsi="Acumin Pro" w:cstheme="minorHAnsi"/>
          <w:lang w:val="sr"/>
        </w:rPr>
        <w:t xml:space="preserve"> показали су да социјалне услуге за особе које живе </w:t>
      </w:r>
      <w:r w:rsidR="0069213C">
        <w:rPr>
          <w:rFonts w:ascii="Calibri" w:hAnsi="Calibri" w:cs="Calibri"/>
          <w:lang w:val="sr-Cyrl-RS"/>
        </w:rPr>
        <w:t>у ситуацији бескућништва</w:t>
      </w:r>
      <w:r w:rsidR="0069213C">
        <w:rPr>
          <w:rFonts w:ascii="Acumin Pro" w:hAnsi="Acumin Pro" w:cstheme="minorHAnsi"/>
          <w:lang w:val="sr"/>
        </w:rPr>
        <w:t xml:space="preserve"> </w:t>
      </w:r>
      <w:r>
        <w:rPr>
          <w:rFonts w:ascii="Acumin Pro" w:hAnsi="Acumin Pro" w:cstheme="minorHAnsi"/>
          <w:lang w:val="sr"/>
        </w:rPr>
        <w:t xml:space="preserve">у Србији, укључујући </w:t>
      </w:r>
      <w:r w:rsidR="0069213C">
        <w:rPr>
          <w:rFonts w:ascii="Calibri" w:hAnsi="Calibri" w:cs="Calibri"/>
          <w:lang w:val="sr-Cyrl-RS"/>
        </w:rPr>
        <w:t>МЗПСП</w:t>
      </w:r>
      <w:r>
        <w:rPr>
          <w:rFonts w:ascii="Acumin Pro" w:hAnsi="Acumin Pro" w:cstheme="minorHAnsi"/>
          <w:lang w:val="sr"/>
        </w:rPr>
        <w:t xml:space="preserve">, нису препознате као приоритет ни од стране локалних општина, ни од стране ЦСР.  </w:t>
      </w:r>
    </w:p>
    <w:p w14:paraId="361DE112" w14:textId="285CC435" w:rsidR="00BD7DDA" w:rsidRPr="004A0D50" w:rsidRDefault="007C0BA4" w:rsidP="00E60859">
      <w:pPr>
        <w:pStyle w:val="ListParagraph"/>
        <w:numPr>
          <w:ilvl w:val="0"/>
          <w:numId w:val="19"/>
        </w:numPr>
        <w:ind w:left="-426" w:right="-613"/>
        <w:jc w:val="both"/>
        <w:rPr>
          <w:rFonts w:ascii="Acumin Pro" w:hAnsi="Acumin Pro" w:cstheme="minorHAnsi"/>
        </w:rPr>
      </w:pPr>
      <w:r>
        <w:rPr>
          <w:rFonts w:ascii="Acumin Pro" w:hAnsi="Acumin Pro" w:cstheme="minorHAnsi"/>
          <w:lang w:val="sr"/>
        </w:rPr>
        <w:t>Такође, треба напоменути да ни у домену смањења штете</w:t>
      </w:r>
      <w:r w:rsidR="0069213C">
        <w:rPr>
          <w:rFonts w:cstheme="minorHAnsi"/>
          <w:lang w:val="sr-Cyrl-RS"/>
        </w:rPr>
        <w:t xml:space="preserve"> (</w:t>
      </w:r>
      <w:r w:rsidR="0069213C">
        <w:rPr>
          <w:rFonts w:cstheme="minorHAnsi"/>
        </w:rPr>
        <w:t>“harm reduction”)</w:t>
      </w:r>
      <w:r>
        <w:rPr>
          <w:rFonts w:ascii="Acumin Pro" w:hAnsi="Acumin Pro" w:cstheme="minorHAnsi"/>
          <w:lang w:val="sr"/>
        </w:rPr>
        <w:t xml:space="preserve">, Србија не пружа подршку лицима која живе </w:t>
      </w:r>
      <w:r w:rsidR="0069213C">
        <w:rPr>
          <w:rFonts w:ascii="Calibri" w:hAnsi="Calibri" w:cs="Calibri"/>
          <w:lang w:val="sr-Cyrl-RS"/>
        </w:rPr>
        <w:t>у ситуацији бескућништва</w:t>
      </w:r>
      <w:r>
        <w:rPr>
          <w:rFonts w:ascii="Acumin Pro" w:hAnsi="Acumin Pro" w:cstheme="minorHAnsi"/>
          <w:lang w:val="sr"/>
        </w:rPr>
        <w:t>. Према званичним подацима пописа, скоро једна трећина (27%) примарних бескућника има проблеме са зависношћу.</w:t>
      </w:r>
      <w:r>
        <w:rPr>
          <w:rStyle w:val="FootnoteReference"/>
          <w:rFonts w:ascii="Acumin Pro" w:hAnsi="Acumin Pro" w:cstheme="minorHAnsi"/>
          <w:lang w:val="sr"/>
        </w:rPr>
        <w:footnoteReference w:id="78"/>
      </w:r>
      <w:r>
        <w:rPr>
          <w:rFonts w:ascii="Acumin Pro" w:hAnsi="Acumin Pro" w:cstheme="minorHAnsi"/>
          <w:lang w:val="sr"/>
        </w:rPr>
        <w:t xml:space="preserve"> У случају када немају лична документа, не могу да буду примљени у јавне здравствене установе, као што је Специјална болница за болести зависности. У неким случајевима, бескућници који се сусрећу са овим проблемом упућују се у рехабилитационе центре које воде различите ОЦД. Теренски рад је такође показао да бескућници са менталним сметњама често немају </w:t>
      </w:r>
      <w:r w:rsidR="0069213C">
        <w:rPr>
          <w:rFonts w:cstheme="minorHAnsi"/>
          <w:lang w:val="sr-Cyrl-RS"/>
        </w:rPr>
        <w:t xml:space="preserve">успостављену </w:t>
      </w:r>
      <w:r>
        <w:rPr>
          <w:rFonts w:ascii="Acumin Pro" w:hAnsi="Acumin Pro" w:cstheme="minorHAnsi"/>
          <w:lang w:val="sr"/>
        </w:rPr>
        <w:t xml:space="preserve">дијагнозу, па многи од њих нису у могућности да остваре социјална права на основу свог здравственог стања.  </w:t>
      </w:r>
    </w:p>
    <w:p w14:paraId="33503167" w14:textId="3A9F61C0" w:rsidR="00BD7DDA" w:rsidRPr="004A0D50" w:rsidRDefault="0069213C" w:rsidP="00E60859">
      <w:pPr>
        <w:pStyle w:val="ListParagraph"/>
        <w:numPr>
          <w:ilvl w:val="0"/>
          <w:numId w:val="19"/>
        </w:numPr>
        <w:ind w:left="-426" w:right="-613"/>
        <w:jc w:val="both"/>
        <w:rPr>
          <w:rFonts w:ascii="Acumin Pro" w:hAnsi="Acumin Pro" w:cstheme="minorHAnsi"/>
        </w:rPr>
      </w:pPr>
      <w:r>
        <w:rPr>
          <w:rFonts w:ascii="Calibri" w:hAnsi="Calibri" w:cs="Calibri"/>
          <w:lang w:val="sr-Cyrl-RS"/>
        </w:rPr>
        <w:t>МЗПСП</w:t>
      </w:r>
      <w:r>
        <w:rPr>
          <w:rFonts w:ascii="Acumin Pro" w:hAnsi="Acumin Pro" w:cstheme="minorHAnsi"/>
          <w:lang w:val="sr"/>
        </w:rPr>
        <w:t xml:space="preserve"> </w:t>
      </w:r>
      <w:r w:rsidR="00BD7DDA">
        <w:rPr>
          <w:rFonts w:ascii="Acumin Pro" w:hAnsi="Acumin Pro" w:cstheme="minorHAnsi"/>
          <w:lang w:val="sr"/>
        </w:rPr>
        <w:t xml:space="preserve">за особе које живе </w:t>
      </w:r>
      <w:r>
        <w:rPr>
          <w:rFonts w:ascii="Calibri" w:hAnsi="Calibri" w:cs="Calibri"/>
          <w:lang w:val="sr-Cyrl-RS"/>
        </w:rPr>
        <w:t>у ситуацији бескућништва</w:t>
      </w:r>
      <w:r>
        <w:rPr>
          <w:rFonts w:ascii="Acumin Pro" w:hAnsi="Acumin Pro" w:cstheme="minorHAnsi"/>
          <w:lang w:val="sr"/>
        </w:rPr>
        <w:t xml:space="preserve"> </w:t>
      </w:r>
      <w:r w:rsidR="00BD7DDA">
        <w:rPr>
          <w:rFonts w:ascii="Acumin Pro" w:hAnsi="Acumin Pro" w:cstheme="minorHAnsi"/>
          <w:lang w:val="sr"/>
        </w:rPr>
        <w:t xml:space="preserve">у Србији ограничено је из више разлога. Пре свега, у здравственом систему је недовољан број професионалаца за </w:t>
      </w:r>
      <w:r>
        <w:rPr>
          <w:rFonts w:ascii="Calibri" w:hAnsi="Calibri" w:cs="Calibri"/>
          <w:lang w:val="sr-Cyrl-RS"/>
        </w:rPr>
        <w:t>МЗПСП</w:t>
      </w:r>
      <w:r w:rsidR="00BD7DDA">
        <w:rPr>
          <w:rFonts w:ascii="Acumin Pro" w:hAnsi="Acumin Pro" w:cstheme="minorHAnsi"/>
          <w:lang w:val="sr"/>
        </w:rPr>
        <w:t xml:space="preserve">. Поред тога, иако општи правни оквир за пружање услуга психосоцијалне подршке постоји у оквиру државног система социјалне заштите, стандарди који би обезбедили званично лиценцирање саветодавних и терапијских услуга и њихову доступност грађанима којима је потребна социјална заштита, укључујући и људе који живе </w:t>
      </w:r>
      <w:r>
        <w:rPr>
          <w:rFonts w:ascii="Calibri" w:hAnsi="Calibri" w:cs="Calibri"/>
          <w:lang w:val="sr-Cyrl-RS"/>
        </w:rPr>
        <w:t>у ситуацији бескућништва</w:t>
      </w:r>
      <w:r w:rsidR="00BD7DDA">
        <w:rPr>
          <w:rFonts w:ascii="Acumin Pro" w:hAnsi="Acumin Pro" w:cstheme="minorHAnsi"/>
          <w:lang w:val="sr"/>
        </w:rPr>
        <w:t>, још нису утврђени. Такође је недовољно остварење утврђених циљева дефинисаних Националним програмом о заштити менталног здравља у Републици Србији за период 2019–2026</w:t>
      </w:r>
      <w:r w:rsidR="00BD7DDA">
        <w:rPr>
          <w:rStyle w:val="FootnoteReference"/>
          <w:rFonts w:ascii="Acumin Pro" w:hAnsi="Acumin Pro" w:cstheme="minorHAnsi"/>
          <w:lang w:val="sr"/>
        </w:rPr>
        <w:footnoteReference w:id="79"/>
      </w:r>
      <w:r w:rsidR="00BD7DDA">
        <w:rPr>
          <w:rFonts w:ascii="Acumin Pro" w:hAnsi="Acumin Pro" w:cstheme="minorHAnsi"/>
          <w:lang w:val="sr"/>
        </w:rPr>
        <w:t>, а посебно аспеката који утичу на заштиту лица која живе без крова над главом: а) недостатак програма усмерених на превенцију и ране интервенције; б) недостатак центара за ментално здравље у заједници и услуге М</w:t>
      </w:r>
      <w:r>
        <w:rPr>
          <w:rFonts w:ascii="Calibri" w:hAnsi="Calibri" w:cs="Calibri"/>
          <w:lang w:val="sr-Cyrl-RS"/>
        </w:rPr>
        <w:t>З</w:t>
      </w:r>
      <w:r w:rsidR="00BD7DDA">
        <w:rPr>
          <w:rFonts w:ascii="Acumin Pro" w:hAnsi="Acumin Pro" w:cstheme="minorHAnsi"/>
          <w:lang w:val="sr"/>
        </w:rPr>
        <w:t>ПС</w:t>
      </w:r>
      <w:r>
        <w:rPr>
          <w:rFonts w:ascii="Calibri" w:hAnsi="Calibri" w:cs="Calibri"/>
          <w:lang w:val="sr-Cyrl-RS"/>
        </w:rPr>
        <w:t>П</w:t>
      </w:r>
      <w:r w:rsidR="00BD7DDA">
        <w:rPr>
          <w:rFonts w:ascii="Acumin Pro" w:hAnsi="Acumin Pro" w:cstheme="minorHAnsi"/>
          <w:lang w:val="sr"/>
        </w:rPr>
        <w:t xml:space="preserve"> на терену; ц) неукљученост корисника у рад органа одлучивања или процес доношења одлука; г) </w:t>
      </w:r>
      <w:r w:rsidR="00BD7DDA">
        <w:rPr>
          <w:rFonts w:ascii="Acumin Pro" w:hAnsi="Acumin Pro" w:cstheme="minorHAnsi"/>
          <w:lang w:val="sr"/>
        </w:rPr>
        <w:lastRenderedPageBreak/>
        <w:t>недовољна сарадња здравствених и социјалних система у Србији; д) недостатак међусекторске сарадње између надлежне власти и органа локалне самоуправе у циљу креирања свеобухватних модела помоћи и подршке; ф) недостатак напора усмерених на прелазак са традиционалног приступа инвалидитету заснованог на медицини на приступ заснован на људским правима.</w:t>
      </w:r>
    </w:p>
    <w:p w14:paraId="2684094C" w14:textId="77777777" w:rsidR="00AD3122" w:rsidRPr="004943D1" w:rsidRDefault="00AD3122" w:rsidP="00AD3122">
      <w:pPr>
        <w:rPr>
          <w:rFonts w:ascii="Times New Roman" w:hAnsi="Times New Roman" w:cs="Times New Roman"/>
          <w:i/>
          <w:iCs/>
          <w:sz w:val="24"/>
          <w:szCs w:val="24"/>
        </w:rPr>
      </w:pPr>
    </w:p>
    <w:p w14:paraId="32656A06" w14:textId="77777777" w:rsidR="00AD3122" w:rsidRPr="00D12406" w:rsidRDefault="00AD3122" w:rsidP="00D12406">
      <w:pPr>
        <w:pStyle w:val="NormalWeb"/>
        <w:spacing w:before="0" w:beforeAutospacing="0" w:after="0" w:afterAutospacing="0"/>
        <w:jc w:val="both"/>
        <w:rPr>
          <w:rFonts w:ascii="Acumin Pro" w:hAnsi="Acumin Pro"/>
        </w:rPr>
      </w:pPr>
    </w:p>
    <w:p w14:paraId="77A1319B" w14:textId="77777777" w:rsidR="00466497" w:rsidRDefault="00466497">
      <w:pPr>
        <w:rPr>
          <w:rFonts w:ascii="Neue Machina Ultrabold" w:eastAsiaTheme="majorEastAsia" w:hAnsi="Neue Machina Ultrabold" w:cstheme="majorBidi"/>
          <w:color w:val="FFFFFF" w:themeColor="background1"/>
          <w:sz w:val="32"/>
          <w:szCs w:val="32"/>
          <w:highlight w:val="red"/>
        </w:rPr>
      </w:pPr>
      <w:r>
        <w:rPr>
          <w:rFonts w:ascii="Neue Machina Ultrabold" w:hAnsi="Neue Machina Ultrabold"/>
          <w:color w:val="FFFFFF" w:themeColor="background1"/>
          <w:highlight w:val="red"/>
          <w:lang w:val="sr"/>
        </w:rPr>
        <w:br w:type="page"/>
      </w:r>
    </w:p>
    <w:p w14:paraId="7DF907CF" w14:textId="77777777" w:rsidR="004A56F0" w:rsidRPr="004C11EA" w:rsidRDefault="004A56F0" w:rsidP="004A56F0">
      <w:pPr>
        <w:pStyle w:val="Heading1"/>
        <w:jc w:val="center"/>
        <w:rPr>
          <w:rFonts w:ascii="Neue Machina Ultrabold" w:hAnsi="Neue Machina Ultrabold"/>
          <w:color w:val="FFFFFF" w:themeColor="background1"/>
        </w:rPr>
      </w:pPr>
      <w:bookmarkStart w:id="18" w:name="_Toc93918932"/>
      <w:r>
        <w:rPr>
          <w:rFonts w:ascii="Neue Machina Ultrabold" w:hAnsi="Neue Machina Ultrabold"/>
          <w:color w:val="FFFFFF" w:themeColor="background1"/>
          <w:highlight w:val="red"/>
          <w:lang w:val="sr"/>
        </w:rPr>
        <w:lastRenderedPageBreak/>
        <w:t>АНЕКС</w:t>
      </w:r>
      <w:bookmarkEnd w:id="18"/>
    </w:p>
    <w:p w14:paraId="55AD7DD1" w14:textId="77777777" w:rsidR="004A56F0" w:rsidRPr="004C11EA" w:rsidRDefault="004A56F0" w:rsidP="004A56F0">
      <w:pPr>
        <w:pStyle w:val="Heading1"/>
        <w:rPr>
          <w:rFonts w:ascii="Neue Machina Ultrabold" w:hAnsi="Neue Machina Ultrabold"/>
          <w:color w:val="auto"/>
        </w:rPr>
      </w:pPr>
      <w:bookmarkStart w:id="19" w:name="_Toc93918933"/>
      <w:r>
        <w:rPr>
          <w:rFonts w:ascii="Neue Machina Ultrabold" w:hAnsi="Neue Machina Ultrabold"/>
          <w:color w:val="auto"/>
          <w:lang w:val="sr"/>
        </w:rPr>
        <w:t>ОРГАНИЗАЦИЈЕ КОЈЕ СУ ДОПРИНЕЛЕ ОВОМ ИЗВЕШТАЈУ</w:t>
      </w:r>
      <w:bookmarkEnd w:id="19"/>
      <w:r>
        <w:rPr>
          <w:rFonts w:ascii="Neue Machina Ultrabold" w:hAnsi="Neue Machina Ultrabold"/>
          <w:color w:val="auto"/>
          <w:lang w:val="sr"/>
        </w:rPr>
        <w:t xml:space="preserve"> </w:t>
      </w:r>
    </w:p>
    <w:p w14:paraId="7BC0B13C" w14:textId="77777777" w:rsidR="004A56F0" w:rsidRDefault="004A56F0" w:rsidP="004A56F0">
      <w:pPr>
        <w:spacing w:after="120"/>
        <w:ind w:right="-284"/>
        <w:jc w:val="both"/>
        <w:rPr>
          <w:rFonts w:ascii="Acumin Pro" w:hAnsi="Acumin Pro" w:cstheme="minorHAnsi"/>
          <w:bCs/>
        </w:rPr>
      </w:pPr>
    </w:p>
    <w:bookmarkStart w:id="20" w:name="_Hlk93092307"/>
    <w:p w14:paraId="2A5C43BC" w14:textId="77777777" w:rsidR="004A56F0" w:rsidRDefault="004A56F0" w:rsidP="004A56F0">
      <w:pPr>
        <w:spacing w:after="0"/>
        <w:ind w:right="-284"/>
        <w:jc w:val="both"/>
        <w:rPr>
          <w:rFonts w:ascii="Acumin Pro" w:hAnsi="Acumin Pro" w:cstheme="minorHAnsi"/>
          <w:shd w:val="clear" w:color="auto" w:fill="FFFFFF"/>
        </w:rPr>
      </w:pPr>
      <w:r>
        <w:fldChar w:fldCharType="begin"/>
      </w:r>
      <w:r>
        <w:rPr>
          <w:rFonts w:ascii="Acumin Pro" w:hAnsi="Acumin Pro"/>
          <w:lang w:val="sr"/>
        </w:rPr>
        <w:instrText xml:space="preserve"> HYPERLINK "http://www.a11initiative.org/en/home/" </w:instrText>
      </w:r>
      <w:r>
        <w:fldChar w:fldCharType="separate"/>
      </w:r>
      <w:r>
        <w:rPr>
          <w:rStyle w:val="Hyperlink"/>
          <w:rFonts w:ascii="Acumin Pro" w:hAnsi="Acumin Pro"/>
          <w:b/>
          <w:bCs/>
          <w:color w:val="auto"/>
          <w:lang w:val="sr"/>
        </w:rPr>
        <w:t>А 11</w:t>
      </w:r>
      <w:r>
        <w:rPr>
          <w:rStyle w:val="Hyperlink"/>
          <w:rFonts w:ascii="Acumin Pro" w:hAnsi="Acumin Pro"/>
          <w:b/>
          <w:bCs/>
          <w:color w:val="auto"/>
          <w:shd w:val="clear" w:color="auto" w:fill="FFFFFF"/>
          <w:lang w:val="sr"/>
        </w:rPr>
        <w:t xml:space="preserve"> – Иницијатива за економска и социјална права</w:t>
      </w:r>
      <w:r>
        <w:rPr>
          <w:rStyle w:val="Hyperlink"/>
          <w:rFonts w:ascii="Acumin Pro" w:hAnsi="Acumin Pro"/>
          <w:color w:val="auto"/>
          <w:u w:val="none"/>
          <w:shd w:val="clear" w:color="auto" w:fill="FFFFFF"/>
          <w:lang w:val="sr"/>
        </w:rPr>
        <w:fldChar w:fldCharType="end"/>
      </w:r>
      <w:bookmarkEnd w:id="20"/>
      <w:r>
        <w:rPr>
          <w:rFonts w:ascii="Acumin Pro" w:hAnsi="Acumin Pro"/>
          <w:shd w:val="clear" w:color="auto" w:fill="FFFFFF"/>
          <w:lang w:val="sr"/>
        </w:rPr>
        <w:t xml:space="preserve"> је непрофитна, нестраначка и невладина организација која унапређује и штити права појединаца из рањивих, маргинализованих и дискриминисаних група, са фокусом на економска и социјална права. А 11 прати спровођење јавних политика, домаћих и међународних прописа и препорука уговорних тела УН у тела заснованих на Повељи УН, а такође документује, извештава и води судске поступке у случајевима кршења људских права. А 11 – Иницијатива има консултативни статус у оквиру ЕЦОСОЦ-а. </w:t>
      </w:r>
    </w:p>
    <w:p w14:paraId="309F3D5E" w14:textId="77777777" w:rsidR="004A56F0" w:rsidRDefault="004A56F0" w:rsidP="004A56F0">
      <w:pPr>
        <w:spacing w:after="0"/>
        <w:ind w:right="-284"/>
        <w:jc w:val="both"/>
        <w:rPr>
          <w:rFonts w:ascii="Acumin Pro" w:hAnsi="Acumin Pro" w:cstheme="minorHAnsi"/>
          <w:shd w:val="clear" w:color="auto" w:fill="FFFFFF"/>
        </w:rPr>
      </w:pPr>
    </w:p>
    <w:p w14:paraId="68021038" w14:textId="77777777" w:rsidR="004A56F0" w:rsidRPr="0046250A" w:rsidRDefault="00CF1C0B" w:rsidP="004A56F0">
      <w:pPr>
        <w:spacing w:after="120"/>
        <w:ind w:right="-284"/>
        <w:jc w:val="both"/>
        <w:rPr>
          <w:rFonts w:ascii="Acumin Pro" w:hAnsi="Acumin Pro"/>
        </w:rPr>
      </w:pPr>
      <w:hyperlink r:id="rId23" w:history="1">
        <w:bookmarkStart w:id="21" w:name="_Hlk93092333"/>
        <w:r w:rsidR="009721AD">
          <w:rPr>
            <w:rStyle w:val="Hyperlink"/>
            <w:rFonts w:ascii="Acumin Pro" w:hAnsi="Acumin Pro"/>
            <w:b/>
            <w:bCs/>
            <w:color w:val="auto"/>
            <w:lang w:val="sr"/>
          </w:rPr>
          <w:t>АДРА</w:t>
        </w:r>
        <w:bookmarkEnd w:id="21"/>
        <w:r w:rsidR="009721AD">
          <w:rPr>
            <w:rStyle w:val="Hyperlink"/>
            <w:rFonts w:ascii="Acumin Pro" w:hAnsi="Acumin Pro"/>
            <w:b/>
            <w:bCs/>
            <w:color w:val="auto"/>
            <w:lang w:val="sr"/>
          </w:rPr>
          <w:t xml:space="preserve"> (глобална хуманитарна организација Хришћанске адвентистичке цркве)</w:t>
        </w:r>
      </w:hyperlink>
      <w:r w:rsidR="009721AD">
        <w:rPr>
          <w:rFonts w:ascii="Acumin Pro" w:hAnsi="Acumin Pro"/>
          <w:lang w:val="sr"/>
        </w:rPr>
        <w:t xml:space="preserve"> својим хуманитарним и развојним програмима помаже појединцима и заједницама у више од 120 земаља, без обзира на етничку, политичку или верску припадност. Кроз партнерство са локалним заједницама, организацијама и владама, АДРА успева да промени квалитет живота многих кроз рад у следећим областима: одговор на катастрофе, социјална правда, образовање, економско оснаживање и превенција родно заснованог насиља. </w:t>
      </w:r>
    </w:p>
    <w:bookmarkStart w:id="22" w:name="_Hlk93092344"/>
    <w:p w14:paraId="323522B7" w14:textId="77777777" w:rsidR="004A56F0" w:rsidRPr="005E55DB" w:rsidRDefault="004A56F0" w:rsidP="004A56F0">
      <w:pPr>
        <w:spacing w:after="120"/>
        <w:ind w:right="-284"/>
        <w:jc w:val="both"/>
        <w:rPr>
          <w:rFonts w:ascii="Acumin Pro" w:hAnsi="Acumin Pro"/>
        </w:rPr>
      </w:pPr>
      <w:r>
        <w:fldChar w:fldCharType="begin"/>
      </w:r>
      <w:r>
        <w:rPr>
          <w:rFonts w:ascii="Acumin Pro" w:hAnsi="Acumin Pro"/>
          <w:lang w:val="sr"/>
        </w:rPr>
        <w:instrText xml:space="preserve"> HYPERLINK "https://www.czuns.org/en/" </w:instrText>
      </w:r>
      <w:r>
        <w:fldChar w:fldCharType="separate"/>
      </w:r>
      <w:r>
        <w:rPr>
          <w:rStyle w:val="Hyperlink"/>
          <w:rFonts w:ascii="Acumin Pro" w:hAnsi="Acumin Pro"/>
          <w:b/>
          <w:bCs/>
          <w:color w:val="auto"/>
          <w:lang w:val="sr"/>
        </w:rPr>
        <w:t>Центар ЖИВЕТИ УСПРАВНО</w:t>
      </w:r>
      <w:r>
        <w:rPr>
          <w:rStyle w:val="Hyperlink"/>
          <w:rFonts w:ascii="Acumin Pro" w:hAnsi="Acumin Pro"/>
          <w:color w:val="auto"/>
          <w:u w:val="none"/>
          <w:lang w:val="sr"/>
        </w:rPr>
        <w:fldChar w:fldCharType="end"/>
      </w:r>
      <w:bookmarkEnd w:id="22"/>
      <w:r>
        <w:rPr>
          <w:rFonts w:ascii="Acumin Pro" w:hAnsi="Acumin Pro"/>
          <w:lang w:val="sr"/>
        </w:rPr>
        <w:t xml:space="preserve"> основан је 2002. године. Настао је из саветовалишта, које је отворила француска организација</w:t>
      </w:r>
      <w:r>
        <w:rPr>
          <w:rFonts w:ascii="Acumin Pro" w:hAnsi="Acumin Pro"/>
          <w:i/>
          <w:iCs/>
          <w:lang w:val="sr"/>
        </w:rPr>
        <w:t xml:space="preserve"> Handicap International</w:t>
      </w:r>
      <w:r>
        <w:rPr>
          <w:rFonts w:ascii="Acumin Pro" w:hAnsi="Acumin Pro"/>
          <w:lang w:val="sr"/>
        </w:rPr>
        <w:t xml:space="preserve"> у септембру 2000. године. Пружа услугу персоналне асистенције и вршњачку подршку, посредује у обезбеђивању подршке у областима образовања и запошљавања, бави се истраживањем и саиздаваштвом у домену самосталног живота, равноправности у јавном говору, образовања и др.</w:t>
      </w:r>
    </w:p>
    <w:bookmarkStart w:id="23" w:name="_Hlk93092357"/>
    <w:p w14:paraId="3B818F50" w14:textId="77777777" w:rsidR="004A56F0" w:rsidRDefault="004A56F0" w:rsidP="004A56F0">
      <w:pPr>
        <w:jc w:val="both"/>
        <w:rPr>
          <w:rFonts w:ascii="Acumin Pro" w:hAnsi="Acumin Pro"/>
        </w:rPr>
      </w:pPr>
      <w:r>
        <w:rPr>
          <w:rFonts w:ascii="Acumin Pro" w:hAnsi="Acumin Pro"/>
          <w:shd w:val="clear" w:color="auto" w:fill="FFFFFF"/>
          <w:lang w:val="sr"/>
        </w:rPr>
        <w:fldChar w:fldCharType="begin"/>
      </w:r>
      <w:r>
        <w:rPr>
          <w:rFonts w:ascii="Acumin Pro" w:hAnsi="Acumin Pro"/>
          <w:shd w:val="clear" w:color="auto" w:fill="FFFFFF"/>
          <w:lang w:val="sr"/>
        </w:rPr>
        <w:instrText xml:space="preserve"> HYPERLINK "https://www.sssv.rs/" </w:instrText>
      </w:r>
      <w:r>
        <w:rPr>
          <w:rFonts w:ascii="Acumin Pro" w:hAnsi="Acumin Pro"/>
          <w:shd w:val="clear" w:color="auto" w:fill="FFFFFF"/>
          <w:lang w:val="sr"/>
        </w:rPr>
        <w:fldChar w:fldCharType="separate"/>
      </w:r>
      <w:r>
        <w:rPr>
          <w:rStyle w:val="Hyperlink"/>
          <w:rFonts w:ascii="Acumin Pro" w:hAnsi="Acumin Pro"/>
          <w:b/>
          <w:bCs/>
          <w:color w:val="auto"/>
          <w:shd w:val="clear" w:color="auto" w:fill="FFFFFF"/>
          <w:lang w:val="sr"/>
        </w:rPr>
        <w:t>Савез самосталних синдиката Војводине</w:t>
      </w:r>
      <w:r>
        <w:rPr>
          <w:rFonts w:ascii="Acumin Pro" w:hAnsi="Acumin Pro"/>
          <w:b/>
          <w:bCs/>
          <w:u w:val="single"/>
          <w:shd w:val="clear" w:color="auto" w:fill="FFFFFF"/>
          <w:lang w:val="sr"/>
        </w:rPr>
        <w:fldChar w:fldCharType="end"/>
      </w:r>
      <w:bookmarkEnd w:id="23"/>
      <w:r>
        <w:rPr>
          <w:rFonts w:ascii="Acumin Pro" w:hAnsi="Acumin Pro"/>
          <w:b/>
          <w:bCs/>
          <w:u w:val="single"/>
          <w:shd w:val="clear" w:color="auto" w:fill="FFFFFF"/>
          <w:lang w:val="sr"/>
        </w:rPr>
        <w:t xml:space="preserve"> </w:t>
      </w:r>
      <w:r>
        <w:rPr>
          <w:rFonts w:ascii="Acumin Pro" w:hAnsi="Acumin Pro"/>
          <w:lang w:val="sr"/>
        </w:rPr>
        <w:t>је део Савеза самосталних синдиката Србије, као једно од две репрезентативне синдикалне централе у Републици Србији. Савез самосталних синдиката Војводине окупља око 100.000 чланова самосталних синдиката Србије, односно њихових представништава која раде у АП Војводини.</w:t>
      </w:r>
    </w:p>
    <w:p w14:paraId="7463B8D1" w14:textId="77777777" w:rsidR="004A56F0" w:rsidRDefault="00CF1C0B" w:rsidP="004A56F0">
      <w:pPr>
        <w:spacing w:after="120"/>
        <w:ind w:right="-284"/>
        <w:jc w:val="both"/>
        <w:rPr>
          <w:rFonts w:ascii="Acumin Pro" w:hAnsi="Acumin Pro"/>
        </w:rPr>
      </w:pPr>
      <w:hyperlink r:id="rId24" w:history="1">
        <w:r w:rsidR="009721AD">
          <w:rPr>
            <w:rStyle w:val="Hyperlink"/>
            <w:rFonts w:ascii="Acumin Pro" w:hAnsi="Acumin Pro"/>
            <w:b/>
            <w:bCs/>
            <w:color w:val="auto"/>
            <w:lang w:val="sr"/>
          </w:rPr>
          <w:t xml:space="preserve">Грађанска организација </w:t>
        </w:r>
        <w:bookmarkStart w:id="24" w:name="_Hlk93092371"/>
        <w:r w:rsidR="009721AD">
          <w:rPr>
            <w:rStyle w:val="Hyperlink"/>
            <w:rFonts w:ascii="Acumin Pro" w:hAnsi="Acumin Pro"/>
            <w:b/>
            <w:bCs/>
            <w:color w:val="auto"/>
            <w:lang w:val="sr"/>
          </w:rPr>
          <w:t>„Омладински центар ЦК13</w:t>
        </w:r>
        <w:bookmarkEnd w:id="24"/>
        <w:r w:rsidR="009721AD">
          <w:rPr>
            <w:rStyle w:val="Hyperlink"/>
            <w:rFonts w:ascii="Acumin Pro" w:hAnsi="Acumin Pro"/>
            <w:b/>
            <w:bCs/>
            <w:color w:val="auto"/>
            <w:lang w:val="sr"/>
          </w:rPr>
          <w:t>”</w:t>
        </w:r>
      </w:hyperlink>
      <w:r w:rsidR="009721AD">
        <w:rPr>
          <w:rFonts w:ascii="Acumin Pro" w:hAnsi="Acumin Pro"/>
          <w:lang w:val="sr"/>
        </w:rPr>
        <w:t xml:space="preserve"> је поливалентан друштвено-културни центар чији је циљ јачање политичке самосвести, самоорганизовања и друштвеног ангажовања грађана, а посебно младих, кроз организовање континуираног вишеаспектног програма политичке, активистичке, едукативне, културне и уметничке активности усмереног ка личној и друштвеној еманципацији. Омладински центар ЦК13 ради већ 14 година у својој локалној заједници и један је од ретких преосталих независних јавних простора у Новом Саду. </w:t>
      </w:r>
    </w:p>
    <w:bookmarkStart w:id="25" w:name="_Hlk93092383"/>
    <w:p w14:paraId="30B61214" w14:textId="77777777" w:rsidR="004A56F0" w:rsidRPr="001826AB" w:rsidRDefault="004A56F0" w:rsidP="004A56F0">
      <w:pPr>
        <w:spacing w:after="120"/>
        <w:ind w:right="-284"/>
        <w:jc w:val="both"/>
        <w:rPr>
          <w:rFonts w:ascii="Acumin Pro" w:hAnsi="Acumin Pro"/>
        </w:rPr>
      </w:pPr>
      <w:r>
        <w:rPr>
          <w:rFonts w:ascii="Acumin Pro" w:hAnsi="Acumin Pro"/>
          <w:lang w:val="sr"/>
        </w:rPr>
        <w:fldChar w:fldCharType="begin"/>
      </w:r>
      <w:r>
        <w:rPr>
          <w:rFonts w:ascii="Acumin Pro" w:hAnsi="Acumin Pro"/>
          <w:lang w:val="sr"/>
        </w:rPr>
        <w:instrText xml:space="preserve"> HYPERLINK "https://www.b1-portal.org/english/" </w:instrText>
      </w:r>
      <w:r>
        <w:rPr>
          <w:rFonts w:ascii="Acumin Pro" w:hAnsi="Acumin Pro"/>
          <w:lang w:val="sr"/>
        </w:rPr>
        <w:fldChar w:fldCharType="separate"/>
      </w:r>
      <w:r>
        <w:rPr>
          <w:rStyle w:val="Hyperlink"/>
          <w:rFonts w:ascii="Acumin Pro" w:hAnsi="Acumin Pro"/>
          <w:b/>
          <w:bCs/>
          <w:color w:val="auto"/>
          <w:lang w:val="sr"/>
        </w:rPr>
        <w:t>Група Б1</w:t>
      </w:r>
      <w:r>
        <w:rPr>
          <w:rFonts w:ascii="Acumin Pro" w:hAnsi="Acumin Pro"/>
          <w:lang w:val="sr"/>
        </w:rPr>
        <w:fldChar w:fldCharType="end"/>
      </w:r>
      <w:bookmarkEnd w:id="25"/>
      <w:r>
        <w:rPr>
          <w:rFonts w:ascii="Acumin Pro" w:hAnsi="Acumin Pro"/>
          <w:lang w:val="sr"/>
        </w:rPr>
        <w:t xml:space="preserve"> је удружење грађана основано са циљем да допринесе изградњи одговорног грађанског друштва за достојанствен живот, оснаживањем појединаца. Група Б1 спроводи активности кроз образовање, истраживање, информисање и оснаживање, доприносећи тако активном учешћу и сарадњи грађана, као и изградњи и развоју демократске културе, социјалне правде, образовне политике и праксе, безбедности, доброг управљања, одрживог развоја и људских права.</w:t>
      </w:r>
    </w:p>
    <w:p w14:paraId="53E04F53" w14:textId="77777777" w:rsidR="004A56F0" w:rsidRDefault="000F65F0" w:rsidP="004A56F0">
      <w:pPr>
        <w:spacing w:after="120"/>
        <w:ind w:right="-284"/>
        <w:jc w:val="both"/>
        <w:rPr>
          <w:rFonts w:ascii="Acumin Pro" w:hAnsi="Acumin Pro"/>
        </w:rPr>
      </w:pPr>
      <w:bookmarkStart w:id="26" w:name="_Hlk93092396"/>
      <w:r>
        <w:rPr>
          <w:rFonts w:ascii="Acumin Pro" w:hAnsi="Acumin Pro"/>
          <w:b/>
          <w:bCs/>
          <w:u w:val="single"/>
          <w:lang w:val="sr"/>
        </w:rPr>
        <w:t xml:space="preserve">Удружење </w:t>
      </w:r>
      <w:hyperlink r:id="rId25" w:history="1">
        <w:r>
          <w:rPr>
            <w:rStyle w:val="Hyperlink"/>
            <w:rFonts w:ascii="Acumin Pro" w:hAnsi="Acumin Pro"/>
            <w:b/>
            <w:bCs/>
            <w:color w:val="auto"/>
            <w:lang w:val="sr"/>
          </w:rPr>
          <w:t>Излазак</w:t>
        </w:r>
      </w:hyperlink>
      <w:bookmarkEnd w:id="26"/>
      <w:r>
        <w:rPr>
          <w:rFonts w:ascii="Acumin Pro" w:hAnsi="Acumin Pro"/>
          <w:lang w:val="sr"/>
        </w:rPr>
        <w:t xml:space="preserve"> је хришћанско добротворно удружење које је основано ради пружања подршке у превенцији, ресоцијализацији и рехабилитацији особа у проблему зависности и промовише заштиту људског здравља и унапређење здравог живљења. Удружење је регистровано 2009. године на иницијативу групе опорављених зависника </w:t>
      </w:r>
      <w:r>
        <w:rPr>
          <w:rFonts w:ascii="Acumin Pro" w:hAnsi="Acumin Pro"/>
          <w:lang w:val="sr"/>
        </w:rPr>
        <w:lastRenderedPageBreak/>
        <w:t>који су желели да лично искуство и помоћ коју су примили пренесу даље онима који су, због специфичности овог проблема, дискриминисани и напуштени.</w:t>
      </w:r>
    </w:p>
    <w:p w14:paraId="5F4FF69F" w14:textId="77777777" w:rsidR="004A56F0" w:rsidRPr="0046250A" w:rsidRDefault="00CF1C0B" w:rsidP="004A56F0">
      <w:pPr>
        <w:spacing w:after="120"/>
        <w:ind w:right="-284"/>
        <w:jc w:val="both"/>
        <w:rPr>
          <w:rFonts w:ascii="Acumin Pro" w:hAnsi="Acumin Pro"/>
        </w:rPr>
      </w:pPr>
      <w:hyperlink r:id="rId26" w:history="1">
        <w:r w:rsidR="009721AD">
          <w:rPr>
            <w:rStyle w:val="Hyperlink"/>
            <w:rFonts w:ascii="Acumin Pro" w:hAnsi="Acumin Pro"/>
            <w:b/>
            <w:bCs/>
            <w:color w:val="auto"/>
            <w:lang w:val="sr"/>
          </w:rPr>
          <w:t xml:space="preserve">Организација </w:t>
        </w:r>
        <w:bookmarkStart w:id="27" w:name="_Hlk93092416"/>
        <w:r w:rsidR="009721AD">
          <w:rPr>
            <w:rStyle w:val="Hyperlink"/>
            <w:rFonts w:ascii="Acumin Pro" w:hAnsi="Acumin Pro"/>
            <w:b/>
            <w:bCs/>
            <w:color w:val="auto"/>
            <w:lang w:val="sr"/>
          </w:rPr>
          <w:t>Лицеулице</w:t>
        </w:r>
        <w:bookmarkEnd w:id="27"/>
      </w:hyperlink>
      <w:r w:rsidR="009721AD">
        <w:rPr>
          <w:rFonts w:ascii="Acumin Pro" w:hAnsi="Acumin Pro"/>
          <w:lang w:val="sr"/>
        </w:rPr>
        <w:t xml:space="preserve">, основана 2010. године, функционише на принципу економске и социјалне инклузије припадника маргинализованих група. Лицеулице примењују приступ „помоћ, а не поклон” и не заустављају се на хуманитарном аспекту, већ раде на стварању услова у којима ће људи са маргине самог друштва моћи да остваре приход и независност. Основна делатност је издавање уличног магазина ЛИЦЕУЛИЦЕ. Продавци организације Лицеулице су људи који живе у сиромаштву, који су искључени и бескућници. </w:t>
      </w:r>
    </w:p>
    <w:bookmarkStart w:id="28" w:name="_Hlk93092427"/>
    <w:p w14:paraId="19B518F1" w14:textId="77777777" w:rsidR="004A56F0" w:rsidRPr="005E55DB" w:rsidRDefault="004A56F0" w:rsidP="004A56F0">
      <w:pPr>
        <w:shd w:val="clear" w:color="auto" w:fill="FFFFFF"/>
        <w:spacing w:after="120"/>
        <w:ind w:right="-284"/>
        <w:jc w:val="both"/>
        <w:rPr>
          <w:rFonts w:ascii="Acumin Pro" w:eastAsia="Times New Roman" w:hAnsi="Acumin Pro" w:cstheme="minorHAnsi"/>
        </w:rPr>
      </w:pPr>
      <w:r>
        <w:fldChar w:fldCharType="begin"/>
      </w:r>
      <w:r>
        <w:rPr>
          <w:rFonts w:ascii="Acumin Pro" w:hAnsi="Acumin Pro"/>
          <w:lang w:val="sr"/>
        </w:rPr>
        <w:instrText xml:space="preserve"> HYPERLINK "https://chrin.org.rs/category/mreza-chris/" </w:instrText>
      </w:r>
      <w:r>
        <w:fldChar w:fldCharType="separate"/>
      </w:r>
      <w:r>
        <w:rPr>
          <w:rStyle w:val="Hyperlink"/>
          <w:rFonts w:ascii="Acumin Pro" w:hAnsi="Acumin Pro"/>
          <w:b/>
          <w:bCs/>
          <w:color w:val="auto"/>
          <w:lang w:val="sr"/>
        </w:rPr>
        <w:t>О</w:t>
      </w:r>
      <w:bookmarkStart w:id="29" w:name="_Hlk93081872"/>
      <w:r>
        <w:rPr>
          <w:rStyle w:val="Hyperlink"/>
          <w:rFonts w:ascii="Acumin Pro" w:hAnsi="Acumin Pro"/>
          <w:b/>
          <w:bCs/>
          <w:color w:val="auto"/>
          <w:lang w:val="sr"/>
        </w:rPr>
        <w:t>дбор за људска права Ниш</w:t>
      </w:r>
      <w:bookmarkEnd w:id="29"/>
      <w:r>
        <w:rPr>
          <w:rStyle w:val="Hyperlink"/>
          <w:rFonts w:ascii="Acumin Pro" w:hAnsi="Acumin Pro"/>
          <w:color w:val="auto"/>
          <w:u w:val="none"/>
          <w:lang w:val="sr"/>
        </w:rPr>
        <w:fldChar w:fldCharType="end"/>
      </w:r>
      <w:bookmarkEnd w:id="28"/>
      <w:r>
        <w:rPr>
          <w:rFonts w:ascii="Acumin Pro" w:hAnsi="Acumin Pro"/>
          <w:lang w:val="sr"/>
        </w:rPr>
        <w:t xml:space="preserve"> је </w:t>
      </w:r>
      <w:r>
        <w:rPr>
          <w:rFonts w:ascii="Acumin Pro" w:hAnsi="Acumin Pro"/>
          <w:shd w:val="clear" w:color="auto" w:fill="FFFFFF"/>
          <w:lang w:val="sr"/>
        </w:rPr>
        <w:t xml:space="preserve">непрофитна, нестраначка и невладина организација </w:t>
      </w:r>
      <w:r>
        <w:rPr>
          <w:rFonts w:ascii="Acumin Pro" w:hAnsi="Acumin Pro"/>
          <w:lang w:val="sr"/>
        </w:rPr>
        <w:t>основана 1999. године, са фокусом на пружање бесплатне правне помоћи грађанима чија су људска права повређена. Одбор за људска права Ниш своје активности спроводи у оквиру два стратешка програма: јачање владавине права и заштита од дискриминације.</w:t>
      </w:r>
    </w:p>
    <w:bookmarkStart w:id="30" w:name="_Hlk93092439"/>
    <w:p w14:paraId="538A8D99" w14:textId="77777777" w:rsidR="004A56F0" w:rsidRPr="001826AB" w:rsidRDefault="004A56F0" w:rsidP="004A56F0">
      <w:pPr>
        <w:spacing w:after="120"/>
        <w:ind w:right="-284"/>
        <w:jc w:val="both"/>
        <w:rPr>
          <w:rFonts w:ascii="Acumin Pro" w:hAnsi="Acumin Pro"/>
        </w:rPr>
      </w:pPr>
      <w:r>
        <w:rPr>
          <w:rFonts w:ascii="Acumin Pro" w:hAnsi="Acumin Pro"/>
          <w:lang w:val="sr"/>
        </w:rPr>
        <w:fldChar w:fldCharType="begin"/>
      </w:r>
      <w:r>
        <w:rPr>
          <w:rFonts w:ascii="Acumin Pro" w:hAnsi="Acumin Pro"/>
          <w:lang w:val="sr"/>
        </w:rPr>
        <w:instrText xml:space="preserve"> HYPERLINK "https://psychosocialinnovation.net/" </w:instrText>
      </w:r>
      <w:r>
        <w:rPr>
          <w:rFonts w:ascii="Acumin Pro" w:hAnsi="Acumin Pro"/>
          <w:lang w:val="sr"/>
        </w:rPr>
        <w:fldChar w:fldCharType="separate"/>
      </w:r>
      <w:r>
        <w:rPr>
          <w:rStyle w:val="Hyperlink"/>
          <w:rFonts w:ascii="Acumin Pro" w:hAnsi="Acumin Pro"/>
          <w:b/>
          <w:bCs/>
          <w:color w:val="auto"/>
          <w:lang w:val="sr"/>
        </w:rPr>
        <w:t>ПИН – Мрежа психосоцијалних иновација</w:t>
      </w:r>
      <w:r>
        <w:rPr>
          <w:rFonts w:ascii="Acumin Pro" w:hAnsi="Acumin Pro"/>
          <w:lang w:val="sr"/>
        </w:rPr>
        <w:fldChar w:fldCharType="end"/>
      </w:r>
      <w:bookmarkEnd w:id="30"/>
      <w:r>
        <w:rPr>
          <w:rFonts w:ascii="Acumin Pro" w:hAnsi="Acumin Pro"/>
          <w:lang w:val="sr"/>
        </w:rPr>
        <w:t xml:space="preserve"> је невладина, неполитичка и непрофитна организација, основана са циљем остваривања различитих циљева у области психолошке праксе. Кроз своју мисију, ПИН настоји да успостави и промовише мултисекторски, емпиријски заснован, свеобухватан и ефикасан модел психосоцијалне подршке који укључује кориснике услуга, пружаоце услуга, локалне заједнице и доносиоце одлука у креирање системских и одрживих решења за заштиту и унапређење менталног здравља. Главне активности ПИН-а подељене су у четири програмске области: Психолошко саветовање и психотерапија, психосоцијална подршка и превентивне активности, истраживање, заговарање.</w:t>
      </w:r>
    </w:p>
    <w:bookmarkStart w:id="31" w:name="_Hlk93084178"/>
    <w:p w14:paraId="0566FB54" w14:textId="77777777" w:rsidR="00D12406" w:rsidRPr="00D12406" w:rsidRDefault="004A56F0" w:rsidP="004A56F0">
      <w:pPr>
        <w:pStyle w:val="NoSpacing"/>
        <w:jc w:val="both"/>
        <w:rPr>
          <w:rFonts w:ascii="Acumin Pro" w:hAnsi="Acumin Pro" w:cstheme="minorHAnsi"/>
        </w:rPr>
      </w:pPr>
      <w:r>
        <w:fldChar w:fldCharType="begin"/>
      </w:r>
      <w:r>
        <w:rPr>
          <w:rFonts w:ascii="Acumin Pro" w:hAnsi="Acumin Pro"/>
          <w:lang w:val="sr"/>
        </w:rPr>
        <w:instrText xml:space="preserve"> HYPERLINK "https://www.facebook.com/rozazrenjanin/" </w:instrText>
      </w:r>
      <w:r>
        <w:fldChar w:fldCharType="separate"/>
      </w:r>
      <w:r>
        <w:rPr>
          <w:rStyle w:val="Hyperlink"/>
          <w:rFonts w:ascii="Acumin Pro" w:hAnsi="Acumin Pro"/>
          <w:b/>
          <w:bCs/>
          <w:color w:val="auto"/>
          <w:lang w:val="sr"/>
        </w:rPr>
        <w:t>РОЗА - Удружење за радна права жена</w:t>
      </w:r>
      <w:r>
        <w:rPr>
          <w:rStyle w:val="Hyperlink"/>
          <w:rFonts w:ascii="Acumin Pro" w:hAnsi="Acumin Pro"/>
          <w:color w:val="auto"/>
          <w:u w:val="none"/>
          <w:lang w:val="sr"/>
        </w:rPr>
        <w:fldChar w:fldCharType="end"/>
      </w:r>
      <w:bookmarkEnd w:id="31"/>
      <w:r>
        <w:rPr>
          <w:rFonts w:ascii="Acumin Pro" w:hAnsi="Acumin Pro"/>
          <w:lang w:val="sr"/>
        </w:rPr>
        <w:t xml:space="preserve"> је непрофитна организација која оснажује жене да спрече кршење њихових радних права или да говоре када су њихова радна права повређена. Основна делатност удружења РОЗА је Група за подршку, механизам кроз који жене могу да поделе своје приче са нама и добију различите врсте помоћи. Удружење такође активно учествује у јавним расправама и догађајима, шире приче о радничким правима и користе алате као што је документарни перформанс како би ову област учинили приступачнијом. Активисткиње удружења РОЗА окупила је чињеница да су све биле или су и даље прекарне раднице које су доживеле кршење радних права, као и жеља да активно допринесу бољим условима рада за жене.</w:t>
      </w:r>
    </w:p>
    <w:p w14:paraId="5AC489B3" w14:textId="77777777" w:rsidR="00B9503E" w:rsidRPr="00D12406" w:rsidRDefault="00B9503E" w:rsidP="00D12406">
      <w:pPr>
        <w:rPr>
          <w:rFonts w:ascii="Acumin Pro" w:hAnsi="Acumin Pro"/>
        </w:rPr>
      </w:pPr>
    </w:p>
    <w:sectPr w:rsidR="00B9503E" w:rsidRPr="00D12406" w:rsidSect="007F14F7">
      <w:footerReference w:type="default" r:id="rId27"/>
      <w:pgSz w:w="11906" w:h="16838"/>
      <w:pgMar w:top="1440" w:right="1440" w:bottom="1440" w:left="1440" w:header="708"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1F378" w14:textId="77777777" w:rsidR="00CF1C0B" w:rsidRDefault="00CF1C0B" w:rsidP="00B27CAF">
      <w:pPr>
        <w:spacing w:after="0" w:line="240" w:lineRule="auto"/>
      </w:pPr>
      <w:r>
        <w:separator/>
      </w:r>
    </w:p>
  </w:endnote>
  <w:endnote w:type="continuationSeparator" w:id="0">
    <w:p w14:paraId="1D5DC742" w14:textId="77777777" w:rsidR="00CF1C0B" w:rsidRDefault="00CF1C0B" w:rsidP="00B2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Neue Machina Ultrabold">
    <w:altName w:val="Courier New"/>
    <w:panose1 w:val="00000000000000000000"/>
    <w:charset w:val="00"/>
    <w:family w:val="modern"/>
    <w:notTrueType/>
    <w:pitch w:val="variable"/>
    <w:sig w:usb0="00000001" w:usb1="00000000" w:usb2="00000000" w:usb3="00000000" w:csb0="00000097" w:csb1="00000000"/>
  </w:font>
  <w:font w:name="Acumin Pro">
    <w:altName w:val="Arial"/>
    <w:panose1 w:val="00000000000000000000"/>
    <w:charset w:val="00"/>
    <w:family w:val="swiss"/>
    <w:notTrueType/>
    <w:pitch w:val="variable"/>
    <w:sig w:usb0="00000001" w:usb1="00000001" w:usb2="00000000" w:usb3="00000000" w:csb0="0000019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758855"/>
      <w:docPartObj>
        <w:docPartGallery w:val="Page Numbers (Bottom of Page)"/>
        <w:docPartUnique/>
      </w:docPartObj>
    </w:sdtPr>
    <w:sdtEndPr>
      <w:rPr>
        <w:noProof/>
      </w:rPr>
    </w:sdtEndPr>
    <w:sdtContent>
      <w:p w14:paraId="4BF057BE" w14:textId="17091718" w:rsidR="005E55DB" w:rsidRDefault="005E55DB">
        <w:pPr>
          <w:pStyle w:val="Footer"/>
          <w:jc w:val="right"/>
        </w:pPr>
        <w:r>
          <w:rPr>
            <w:lang w:val="sr"/>
          </w:rPr>
          <w:fldChar w:fldCharType="begin"/>
        </w:r>
        <w:r>
          <w:rPr>
            <w:lang w:val="sr"/>
          </w:rPr>
          <w:instrText xml:space="preserve"> PAGE   \* MERGEFORMAT </w:instrText>
        </w:r>
        <w:r>
          <w:rPr>
            <w:lang w:val="sr"/>
          </w:rPr>
          <w:fldChar w:fldCharType="separate"/>
        </w:r>
        <w:r w:rsidR="00C479D3">
          <w:rPr>
            <w:noProof/>
            <w:lang w:val="sr"/>
          </w:rPr>
          <w:t>4</w:t>
        </w:r>
        <w:r>
          <w:rPr>
            <w:noProof/>
            <w:lang w:val="sr"/>
          </w:rPr>
          <w:fldChar w:fldCharType="end"/>
        </w:r>
      </w:p>
    </w:sdtContent>
  </w:sdt>
  <w:p w14:paraId="5E62F38E" w14:textId="77777777" w:rsidR="007C066F" w:rsidRDefault="007C0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09DCC" w14:textId="77777777" w:rsidR="00CF1C0B" w:rsidRDefault="00CF1C0B" w:rsidP="00B27CAF">
      <w:pPr>
        <w:spacing w:after="0" w:line="240" w:lineRule="auto"/>
      </w:pPr>
      <w:r>
        <w:separator/>
      </w:r>
    </w:p>
  </w:footnote>
  <w:footnote w:type="continuationSeparator" w:id="0">
    <w:p w14:paraId="602ACAF2" w14:textId="77777777" w:rsidR="00CF1C0B" w:rsidRDefault="00CF1C0B" w:rsidP="00B27CAF">
      <w:pPr>
        <w:spacing w:after="0" w:line="240" w:lineRule="auto"/>
      </w:pPr>
      <w:r>
        <w:continuationSeparator/>
      </w:r>
    </w:p>
  </w:footnote>
  <w:footnote w:id="1">
    <w:p w14:paraId="5BBF5853" w14:textId="77777777" w:rsidR="00626257" w:rsidRPr="00AC3BDF" w:rsidRDefault="00626257" w:rsidP="00E60859">
      <w:pPr>
        <w:pStyle w:val="FootnoteText"/>
        <w:ind w:left="-426"/>
        <w:rPr>
          <w:rStyle w:val="FootnoteReference"/>
        </w:rPr>
      </w:pPr>
      <w:r>
        <w:rPr>
          <w:rStyle w:val="FootnoteReference"/>
          <w:lang w:val="sr"/>
        </w:rPr>
        <w:footnoteRef/>
      </w:r>
      <w:r>
        <w:rPr>
          <w:rStyle w:val="FootnoteReference"/>
          <w:lang w:val="sr"/>
        </w:rPr>
        <w:t xml:space="preserve"> Комитет УН за економска, социјална и културна права, Листа питања у вези са трећим периодичним извештајем Србије, </w:t>
      </w:r>
      <w:r>
        <w:rPr>
          <w:rStyle w:val="FootnoteReference"/>
          <w:i/>
          <w:iCs/>
          <w:lang w:val="sr"/>
        </w:rPr>
        <w:t>E/C.12/SRB/Q/3</w:t>
      </w:r>
    </w:p>
  </w:footnote>
  <w:footnote w:id="2">
    <w:p w14:paraId="56AC5B2B" w14:textId="77777777" w:rsidR="00B27CAF" w:rsidRPr="00AC3BDF" w:rsidRDefault="00B27CAF" w:rsidP="00E60859">
      <w:pPr>
        <w:pStyle w:val="FootnoteText"/>
        <w:ind w:left="-426"/>
        <w:rPr>
          <w:rStyle w:val="FootnoteReference"/>
        </w:rPr>
      </w:pPr>
      <w:r>
        <w:rPr>
          <w:rStyle w:val="FootnoteReference"/>
          <w:lang w:val="sr"/>
        </w:rPr>
        <w:footnoteRef/>
      </w:r>
      <w:r>
        <w:rPr>
          <w:rStyle w:val="FootnoteReference"/>
          <w:lang w:val="sr"/>
        </w:rPr>
        <w:t xml:space="preserve"> Одговор Србије на листу питања у вези са њеним трећим периодичним извештајем, 29. јун 2020., </w:t>
      </w:r>
      <w:r>
        <w:rPr>
          <w:rStyle w:val="FootnoteReference"/>
          <w:i/>
          <w:iCs/>
          <w:lang w:val="sr"/>
        </w:rPr>
        <w:t>E/C.12/SRB/RQ/3,</w:t>
      </w:r>
      <w:r>
        <w:rPr>
          <w:rStyle w:val="FootnoteReference"/>
          <w:lang w:val="sr"/>
        </w:rPr>
        <w:t xml:space="preserve">, који је доступан на: </w:t>
      </w:r>
      <w:hyperlink r:id="rId1">
        <w:r>
          <w:rPr>
            <w:rStyle w:val="FootnoteReference"/>
            <w:lang w:val="sr"/>
          </w:rPr>
          <w:t>https://tbinternet.ohchr.org/_layouts/15/treatybodyexternal/Download.aspx?symbolno=E%2fC.12%2fSRB%2fRQ%2f3&amp;Lang=en</w:t>
        </w:r>
      </w:hyperlink>
      <w:r>
        <w:rPr>
          <w:rStyle w:val="FootnoteReference"/>
          <w:lang w:val="sr"/>
        </w:rPr>
        <w:t>, став 88, стр. 1.</w:t>
      </w:r>
    </w:p>
  </w:footnote>
  <w:footnote w:id="3">
    <w:p w14:paraId="2D325EF5" w14:textId="77777777" w:rsidR="00B27CAF" w:rsidRPr="00AC3BDF" w:rsidRDefault="00B27CAF" w:rsidP="00E60859">
      <w:pPr>
        <w:pStyle w:val="FootnoteText"/>
        <w:ind w:left="-426"/>
        <w:rPr>
          <w:rStyle w:val="FootnoteReference"/>
        </w:rPr>
      </w:pPr>
      <w:r>
        <w:rPr>
          <w:rStyle w:val="FootnoteReference"/>
          <w:lang w:val="sr"/>
        </w:rPr>
        <w:footnoteRef/>
      </w:r>
      <w:r>
        <w:rPr>
          <w:rStyle w:val="FootnoteReference"/>
          <w:lang w:val="sr"/>
        </w:rPr>
        <w:t xml:space="preserve"> Иницијатива А 11 за економска и социјална права, права другог реда, социјална права у светлу мера штедње, СРБИЈА 2012 – 2020, стр. 8. доступно на: </w:t>
      </w:r>
      <w:hyperlink r:id="rId2">
        <w:r>
          <w:rPr>
            <w:rStyle w:val="FootnoteReference"/>
            <w:lang w:val="sr"/>
          </w:rPr>
          <w:t>https://www.a11initiative.org/wp-content/uploads/2020/06/Second-Class-Rights_Social-Rights-in-the-Light-of-Austerity-Measures-SERBIA-2012-%E2%80%93-2020.pdf</w:t>
        </w:r>
      </w:hyperlink>
      <w:r>
        <w:rPr>
          <w:rStyle w:val="FootnoteReference"/>
          <w:lang w:val="sr"/>
        </w:rPr>
        <w:t xml:space="preserve"> </w:t>
      </w:r>
    </w:p>
  </w:footnote>
  <w:footnote w:id="4">
    <w:p w14:paraId="0071AAC9" w14:textId="77777777" w:rsidR="00E21D3D" w:rsidRPr="00AC3BDF" w:rsidRDefault="00E21D3D" w:rsidP="00E60859">
      <w:pPr>
        <w:pStyle w:val="FootnoteText"/>
        <w:ind w:left="-426"/>
        <w:rPr>
          <w:rStyle w:val="FootnoteReference"/>
        </w:rPr>
      </w:pPr>
      <w:r>
        <w:rPr>
          <w:rStyle w:val="FootnoteReference"/>
          <w:lang w:val="sr"/>
        </w:rPr>
        <w:footnoteRef/>
      </w:r>
      <w:r>
        <w:rPr>
          <w:rStyle w:val="FootnoteReference"/>
          <w:lang w:val="sr"/>
        </w:rPr>
        <w:t xml:space="preserve"> Информације Центра ЖИВЕТИ УСПРАВНО, јун 2019. – јануар 2022. </w:t>
      </w:r>
    </w:p>
  </w:footnote>
  <w:footnote w:id="5">
    <w:p w14:paraId="23B182F7" w14:textId="77777777" w:rsidR="00626257" w:rsidRPr="00AC3BDF" w:rsidRDefault="00626257" w:rsidP="00E60859">
      <w:pPr>
        <w:pStyle w:val="FootnoteText"/>
        <w:ind w:left="-426"/>
        <w:rPr>
          <w:rStyle w:val="FootnoteReference"/>
          <w:rFonts w:asciiTheme="minorHAnsi" w:hAnsiTheme="minorHAnsi" w:cstheme="minorHAnsi"/>
        </w:rPr>
      </w:pPr>
      <w:r>
        <w:rPr>
          <w:rStyle w:val="FootnoteReference"/>
          <w:lang w:val="sr"/>
        </w:rPr>
        <w:footnoteRef/>
      </w:r>
      <w:r>
        <w:rPr>
          <w:rStyle w:val="FootnoteReference"/>
          <w:lang w:val="sr"/>
        </w:rPr>
        <w:t xml:space="preserve"> </w:t>
      </w:r>
      <w:bookmarkStart w:id="3" w:name="_Hlk93004034"/>
      <w:r>
        <w:rPr>
          <w:rStyle w:val="FootnoteReference"/>
          <w:lang w:val="sr"/>
        </w:rPr>
        <w:t xml:space="preserve"> Службени гласник РС, број 57/11.</w:t>
      </w:r>
      <w:bookmarkEnd w:id="3"/>
      <w:r>
        <w:rPr>
          <w:rStyle w:val="FootnoteReference"/>
          <w:lang w:val="sr"/>
        </w:rPr>
        <w:t>.</w:t>
      </w:r>
    </w:p>
  </w:footnote>
  <w:footnote w:id="6">
    <w:p w14:paraId="6BF9FC12" w14:textId="77777777" w:rsidR="00626257" w:rsidRPr="00AC3BDF" w:rsidRDefault="00626257" w:rsidP="00AC3BDF">
      <w:pPr>
        <w:pStyle w:val="Heading5"/>
        <w:shd w:val="clear" w:color="auto" w:fill="FFFFFF"/>
        <w:spacing w:before="0"/>
        <w:ind w:left="-425"/>
        <w:textAlignment w:val="baseline"/>
        <w:rPr>
          <w:rStyle w:val="FootnoteReference"/>
          <w:rFonts w:asciiTheme="minorHAnsi" w:hAnsiTheme="minorHAnsi" w:cstheme="minorHAnsi"/>
        </w:rPr>
      </w:pPr>
      <w:r>
        <w:rPr>
          <w:rStyle w:val="FootnoteReference"/>
          <w:rFonts w:asciiTheme="minorHAnsi" w:hAnsiTheme="minorHAnsi" w:cstheme="minorHAnsi"/>
          <w:color w:val="auto"/>
          <w:lang w:val="sr"/>
        </w:rPr>
        <w:footnoteRef/>
      </w:r>
      <w:r>
        <w:rPr>
          <w:rStyle w:val="FootnoteReference"/>
          <w:rFonts w:asciiTheme="minorHAnsi" w:hAnsiTheme="minorHAnsi" w:cstheme="minorHAnsi"/>
          <w:color w:val="auto"/>
          <w:lang w:val="sr"/>
        </w:rPr>
        <w:t xml:space="preserve"> Милијана Трифковић, Утуживост економских и социјалних права у Србији, стр. 43–44, А 11 – Иницијатива за економска и социјална права, онлајн, доступно на: </w:t>
      </w:r>
      <w:hyperlink r:id="rId3" w:history="1">
        <w:r>
          <w:rPr>
            <w:rStyle w:val="FootnoteReference"/>
            <w:rFonts w:asciiTheme="minorHAnsi" w:hAnsiTheme="minorHAnsi" w:cstheme="minorHAnsi"/>
            <w:color w:val="auto"/>
            <w:lang w:val="sr"/>
          </w:rPr>
          <w:t>https://www.a11initiative.org/wp-content/uploads/2021/12/ENG-Utu%C5%BEivost-ekonomskih-i-socijalnih-prava-u-Srbiji-2.pdf</w:t>
        </w:r>
      </w:hyperlink>
      <w:r>
        <w:rPr>
          <w:rStyle w:val="FootnoteReference"/>
          <w:rFonts w:asciiTheme="minorHAnsi" w:hAnsiTheme="minorHAnsi" w:cstheme="minorHAnsi"/>
          <w:color w:val="auto"/>
          <w:lang w:val="sr"/>
        </w:rPr>
        <w:t xml:space="preserve"> </w:t>
      </w:r>
    </w:p>
  </w:footnote>
  <w:footnote w:id="7">
    <w:p w14:paraId="704828AC" w14:textId="77777777" w:rsidR="005719B8" w:rsidRPr="00AC3BDF" w:rsidRDefault="005719B8" w:rsidP="00AC3BDF">
      <w:pPr>
        <w:pStyle w:val="FootnoteText"/>
        <w:ind w:left="-425"/>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ЦЕПРИС, Однос Уставног суда и судске власти, стање и перспективе, Београд 2019, онлајн, доступно на </w:t>
      </w:r>
      <w:hyperlink r:id="rId4" w:history="1">
        <w:r>
          <w:rPr>
            <w:rStyle w:val="FootnoteReference"/>
            <w:rFonts w:cstheme="minorHAnsi"/>
            <w:lang w:val="sr"/>
          </w:rPr>
          <w:t>https://www.cepris.org/wp-content/uploads/2019/10/CEPRIS-Odnos-Ustavnog-suda-i-sudske-vlasti2.pdf</w:t>
        </w:r>
      </w:hyperlink>
      <w:r>
        <w:rPr>
          <w:rStyle w:val="FootnoteReference"/>
          <w:rFonts w:cstheme="minorHAnsi"/>
          <w:lang w:val="sr"/>
        </w:rPr>
        <w:t xml:space="preserve"> </w:t>
      </w:r>
    </w:p>
  </w:footnote>
  <w:footnote w:id="8">
    <w:p w14:paraId="1B4D46E6" w14:textId="77777777" w:rsidR="005719B8" w:rsidRPr="00AC3BDF" w:rsidRDefault="005719B8" w:rsidP="00AC3BDF">
      <w:pPr>
        <w:pStyle w:val="FootnoteText"/>
        <w:ind w:left="-425"/>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ЦЕПРИС, Нормативна контрола уставности као основна (?) надлежност Уставног суда Србије (2009 – 2019), Београд 2021, стр. 7, онлајн, доступно на: </w:t>
      </w:r>
      <w:hyperlink r:id="rId5" w:history="1">
        <w:r>
          <w:rPr>
            <w:rStyle w:val="FootnoteReference"/>
            <w:rFonts w:cstheme="minorHAnsi"/>
            <w:lang w:val="sr"/>
          </w:rPr>
          <w:t>https://www.cepris.org/istrazivanja-i-analize/studija-normativna-kontrola-ustavnosti-kao-osnovna-nadleznost-ustavnog-suda-srbije/</w:t>
        </w:r>
      </w:hyperlink>
      <w:r>
        <w:rPr>
          <w:rStyle w:val="FootnoteReference"/>
          <w:rFonts w:cstheme="minorHAnsi"/>
          <w:lang w:val="sr"/>
        </w:rPr>
        <w:t xml:space="preserve"> </w:t>
      </w:r>
    </w:p>
  </w:footnote>
  <w:footnote w:id="9">
    <w:p w14:paraId="7EA59521" w14:textId="77777777" w:rsidR="00626257" w:rsidRPr="00AC3BDF" w:rsidRDefault="00626257" w:rsidP="00AC3BDF">
      <w:pPr>
        <w:pStyle w:val="FootnoteText"/>
        <w:ind w:left="-425"/>
        <w:rPr>
          <w:rStyle w:val="FootnoteReference"/>
        </w:rPr>
      </w:pPr>
      <w:r>
        <w:rPr>
          <w:rStyle w:val="FootnoteReference"/>
          <w:lang w:val="sr"/>
        </w:rPr>
        <w:footnoteRef/>
      </w:r>
      <w:r>
        <w:rPr>
          <w:rStyle w:val="FootnoteReference"/>
          <w:lang w:val="sr"/>
        </w:rPr>
        <w:t xml:space="preserve"> </w:t>
      </w:r>
      <w:r>
        <w:rPr>
          <w:rStyle w:val="FootnoteReference"/>
          <w:i/>
          <w:iCs/>
          <w:lang w:val="sr"/>
        </w:rPr>
        <w:t>ibid.</w:t>
      </w:r>
      <w:r>
        <w:rPr>
          <w:rStyle w:val="FootnoteReference"/>
          <w:lang w:val="sr"/>
        </w:rPr>
        <w:t xml:space="preserve">  </w:t>
      </w:r>
    </w:p>
  </w:footnote>
  <w:footnote w:id="10">
    <w:p w14:paraId="3157204E" w14:textId="77777777" w:rsidR="00B27CAF" w:rsidRPr="00AC3BDF" w:rsidRDefault="00B27CAF"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Више информација о овој иницијативи поднето у децембру 2018: Платформа организација за сарадњу са механизмима УН за људска права – Допринос Платформе организација за сарадњу са механизмима УН за људска права поводом усвајања листе питања за трећи циклус извештавања Републике Србије, став 12. </w:t>
      </w:r>
    </w:p>
  </w:footnote>
  <w:footnote w:id="11">
    <w:p w14:paraId="767F19FD" w14:textId="77777777" w:rsidR="00B27CAF" w:rsidRPr="00AC3BDF" w:rsidRDefault="00B27CAF"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Информација са конференције коју је организовало Министарство за људска и мањинска права и социјални дијалог 10. децембра 2021. </w:t>
      </w:r>
    </w:p>
  </w:footnote>
  <w:footnote w:id="12">
    <w:p w14:paraId="0514EDF5" w14:textId="77777777" w:rsidR="00626257" w:rsidRPr="00AC3BDF" w:rsidRDefault="00626257"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Допринос Платформе организација за сарадњу са механизмима УН за људска права поводом усвајања листе питања за трећи циклус извештавања Републике Србије, став 4. </w:t>
      </w:r>
    </w:p>
  </w:footnote>
  <w:footnote w:id="13">
    <w:p w14:paraId="0EF98AFA" w14:textId="77777777" w:rsidR="00626257" w:rsidRPr="00AC3BDF" w:rsidRDefault="00626257"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Службени гласник РС, број 87/18. </w:t>
      </w:r>
    </w:p>
  </w:footnote>
  <w:footnote w:id="14">
    <w:p w14:paraId="16554A6D" w14:textId="77777777" w:rsidR="00B27CAF" w:rsidRPr="00AC3BDF" w:rsidRDefault="00B27CAF"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w:t>
      </w:r>
      <w:r>
        <w:rPr>
          <w:rStyle w:val="FootnoteReference"/>
          <w:rFonts w:cstheme="minorHAnsi"/>
          <w:i/>
          <w:iCs/>
          <w:lang w:val="sr"/>
        </w:rPr>
        <w:t>Praxis</w:t>
      </w:r>
      <w:r>
        <w:rPr>
          <w:rStyle w:val="FootnoteReference"/>
          <w:rFonts w:cstheme="minorHAnsi"/>
          <w:lang w:val="sr"/>
        </w:rPr>
        <w:t xml:space="preserve">, Закон о бесплатној правној помоћи – прва година у пракси: да ли су циљеви испуњени?, 2020, доступно на: </w:t>
      </w:r>
      <w:hyperlink r:id="rId6">
        <w:r>
          <w:rPr>
            <w:rStyle w:val="FootnoteReference"/>
            <w:rFonts w:cstheme="minorHAnsi"/>
            <w:lang w:val="sr"/>
          </w:rPr>
          <w:t>https://www.praxis.org.rs/images/praxis_downloads/REPORT_LAW_ON_FREE_LEGAL_AID_THE_FIRST_YEAR.pdf</w:t>
        </w:r>
      </w:hyperlink>
      <w:r>
        <w:rPr>
          <w:rStyle w:val="FootnoteReference"/>
          <w:rFonts w:cstheme="minorHAnsi"/>
          <w:lang w:val="sr"/>
        </w:rPr>
        <w:t xml:space="preserve">, стр. 24. </w:t>
      </w:r>
      <w:r>
        <w:rPr>
          <w:rStyle w:val="FootnoteReference"/>
          <w:rFonts w:cstheme="minorHAnsi"/>
          <w:i/>
          <w:iCs/>
          <w:lang w:val="sr"/>
        </w:rPr>
        <w:t>EHO</w:t>
      </w:r>
      <w:r>
        <w:rPr>
          <w:rStyle w:val="FootnoteReference"/>
          <w:rFonts w:cstheme="minorHAnsi"/>
          <w:lang w:val="sr"/>
        </w:rPr>
        <w:t>, Извештај о спровођењу локалних политика у вези са статусом повратника по споразумима о реадмисији у Војводини у 2018. години, стр. 2.</w:t>
      </w:r>
    </w:p>
  </w:footnote>
  <w:footnote w:id="15">
    <w:p w14:paraId="6114F483" w14:textId="77777777" w:rsidR="00B27CAF" w:rsidRPr="00AC3BDF" w:rsidRDefault="00B27CAF"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w:t>
      </w:r>
      <w:r>
        <w:rPr>
          <w:rStyle w:val="FootnoteReference"/>
          <w:rFonts w:cstheme="minorHAnsi"/>
          <w:i/>
          <w:iCs/>
          <w:lang w:val="sr"/>
        </w:rPr>
        <w:t>Praxis</w:t>
      </w:r>
      <w:r>
        <w:rPr>
          <w:rStyle w:val="FootnoteReference"/>
          <w:rFonts w:cstheme="minorHAnsi"/>
          <w:lang w:val="sr"/>
        </w:rPr>
        <w:t xml:space="preserve">, Закон о бесплатној правној помоћи – прва година у пракси: да ли су циљеви испуњени?, </w:t>
      </w:r>
      <w:r>
        <w:rPr>
          <w:rStyle w:val="FootnoteReference"/>
          <w:rFonts w:cstheme="minorHAnsi"/>
          <w:i/>
          <w:iCs/>
          <w:lang w:val="sr"/>
        </w:rPr>
        <w:t>op. cit.</w:t>
      </w:r>
      <w:r>
        <w:rPr>
          <w:rStyle w:val="FootnoteReference"/>
          <w:rFonts w:cstheme="minorHAnsi"/>
          <w:lang w:val="sr"/>
        </w:rPr>
        <w:t>, стр. 14.</w:t>
      </w:r>
    </w:p>
  </w:footnote>
  <w:footnote w:id="16">
    <w:p w14:paraId="7BF53947" w14:textId="77777777" w:rsidR="00626257" w:rsidRPr="00AC3BDF" w:rsidRDefault="00626257"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Информација добијена од нишког Одбора за људска права.</w:t>
      </w:r>
    </w:p>
  </w:footnote>
  <w:footnote w:id="17">
    <w:p w14:paraId="09A34405" w14:textId="77777777" w:rsidR="00B27CAF" w:rsidRPr="00AC3BDF" w:rsidRDefault="00B27CAF"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w:t>
      </w:r>
      <w:r>
        <w:rPr>
          <w:rStyle w:val="FootnoteReference"/>
          <w:rFonts w:cstheme="minorHAnsi"/>
          <w:i/>
          <w:iCs/>
          <w:lang w:val="sr"/>
        </w:rPr>
        <w:t>Ibid.</w:t>
      </w:r>
      <w:r>
        <w:rPr>
          <w:rStyle w:val="FootnoteReference"/>
          <w:rFonts w:cstheme="minorHAnsi"/>
          <w:lang w:val="sr"/>
        </w:rPr>
        <w:t xml:space="preserve"> </w:t>
      </w:r>
      <w:r>
        <w:rPr>
          <w:rStyle w:val="FootnoteReference"/>
          <w:rFonts w:cstheme="minorHAnsi"/>
          <w:i/>
          <w:iCs/>
          <w:lang w:val="sr"/>
        </w:rPr>
        <w:t>EHO</w:t>
      </w:r>
      <w:r>
        <w:rPr>
          <w:rStyle w:val="FootnoteReference"/>
          <w:rFonts w:cstheme="minorHAnsi"/>
          <w:lang w:val="sr"/>
        </w:rPr>
        <w:t>, Извештај о спровођењу локалних политика у вези са статусом повратника по споразумима о реадмисији у Војводини у 2018. години, стр. 2.</w:t>
      </w:r>
    </w:p>
  </w:footnote>
  <w:footnote w:id="18">
    <w:p w14:paraId="57752498" w14:textId="77777777" w:rsidR="00B27CAF" w:rsidRPr="00AC3BDF" w:rsidRDefault="00B27CAF"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w:t>
      </w:r>
      <w:r>
        <w:rPr>
          <w:rStyle w:val="FootnoteReference"/>
          <w:rFonts w:cstheme="minorHAnsi"/>
          <w:i/>
          <w:iCs/>
          <w:lang w:val="sr"/>
        </w:rPr>
        <w:t>Ibid</w:t>
      </w:r>
      <w:r>
        <w:rPr>
          <w:rStyle w:val="FootnoteReference"/>
          <w:rFonts w:cstheme="minorHAnsi"/>
          <w:lang w:val="sr"/>
        </w:rPr>
        <w:t>, стр. 28.</w:t>
      </w:r>
    </w:p>
  </w:footnote>
  <w:footnote w:id="19">
    <w:p w14:paraId="4409BE93" w14:textId="77777777" w:rsidR="00B27CAF" w:rsidRPr="00AC3BDF" w:rsidRDefault="00B27CAF"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w:t>
      </w:r>
      <w:r>
        <w:rPr>
          <w:rStyle w:val="FootnoteReference"/>
          <w:rFonts w:cstheme="minorHAnsi"/>
          <w:i/>
          <w:iCs/>
          <w:lang w:val="sr"/>
        </w:rPr>
        <w:t>Ibid</w:t>
      </w:r>
      <w:r>
        <w:rPr>
          <w:rStyle w:val="FootnoteReference"/>
          <w:rFonts w:cstheme="minorHAnsi"/>
          <w:lang w:val="sr"/>
        </w:rPr>
        <w:t>; А 11 – Иницијатива за економска и социјална права, Примена Закона о бесплатној правној помоћи из угла интерно расељених лица, стр. 31.</w:t>
      </w:r>
    </w:p>
  </w:footnote>
  <w:footnote w:id="20">
    <w:p w14:paraId="44E0E1B2" w14:textId="77777777" w:rsidR="00B27CAF" w:rsidRPr="00AC3BDF" w:rsidRDefault="00B27CAF"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w:t>
      </w:r>
      <w:r>
        <w:rPr>
          <w:rStyle w:val="FootnoteReference"/>
          <w:rFonts w:cstheme="minorHAnsi"/>
          <w:i/>
          <w:iCs/>
          <w:lang w:val="sr"/>
        </w:rPr>
        <w:t>Ibid.</w:t>
      </w:r>
    </w:p>
  </w:footnote>
  <w:footnote w:id="21">
    <w:p w14:paraId="023F50C5" w14:textId="77777777" w:rsidR="004869B3" w:rsidRPr="00AC3BDF" w:rsidRDefault="004869B3"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Службени гласник РС, бројеви 22/2009 и 52/2021.</w:t>
      </w:r>
    </w:p>
  </w:footnote>
  <w:footnote w:id="22">
    <w:p w14:paraId="520A46A5" w14:textId="77777777" w:rsidR="002365E0" w:rsidRPr="00AC3BDF" w:rsidRDefault="002365E0"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Министарство за људска и мањинска права и друштвени дијалог, Информација о консултацијама о основама за израду Стратегије за борбу против дискриминације за период 2021–2030, одржаним од 26. октобра 2021. до 1. новембра 2021.</w:t>
      </w:r>
    </w:p>
  </w:footnote>
  <w:footnote w:id="23">
    <w:p w14:paraId="6F4500CE" w14:textId="77777777" w:rsidR="009D542C" w:rsidRPr="00AC3BDF" w:rsidRDefault="009D542C"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Министарство за људска и мањинска права и друштвени дијалог, Извештај о јавним консултацијама о Нацрту ревидиране стратегије за социјално укључивање Рома и Ромкиња у Републици Србији за период 2022–2030.</w:t>
      </w:r>
    </w:p>
  </w:footnote>
  <w:footnote w:id="24">
    <w:p w14:paraId="453CE003" w14:textId="77777777" w:rsidR="00C22427" w:rsidRPr="00AC3BDF" w:rsidRDefault="00C22427"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Министарство грађевинарства, саобраћаја и инфраструктуре, јавна расправа о Предлогу Националне стамбене стратегије за период 2022 – 2032. године са Акционим планом за спровођење за период 2022 – 2024. године, онлајн, доступно на: </w:t>
      </w:r>
      <w:hyperlink r:id="rId7" w:history="1">
        <w:r>
          <w:rPr>
            <w:rStyle w:val="FootnoteReference"/>
            <w:rFonts w:cstheme="minorHAnsi"/>
            <w:lang w:val="sr"/>
          </w:rPr>
          <w:t>https://www.mgsi.gov.rs/cir/aktuelnosti/javna-rasprava-o-predlogu-nacionalne-stambene-strategije-za-period-od-2022-2032-godine</w:t>
        </w:r>
      </w:hyperlink>
      <w:r>
        <w:rPr>
          <w:rStyle w:val="FootnoteReference"/>
          <w:rFonts w:cstheme="minorHAnsi"/>
          <w:lang w:val="sr"/>
        </w:rPr>
        <w:t xml:space="preserve"> </w:t>
      </w:r>
    </w:p>
  </w:footnote>
  <w:footnote w:id="25">
    <w:p w14:paraId="4B6AB29F" w14:textId="77777777" w:rsidR="00CD6592" w:rsidRPr="00AC3BDF" w:rsidRDefault="00CD6592" w:rsidP="00E60859">
      <w:pPr>
        <w:pStyle w:val="FootnoteText"/>
        <w:ind w:left="-426"/>
        <w:rPr>
          <w:rStyle w:val="FootnoteReference"/>
          <w:rFonts w:asciiTheme="minorHAnsi" w:hAnsiTheme="minorHAnsi" w:cstheme="minorHAnsi"/>
        </w:rPr>
      </w:pPr>
      <w:r>
        <w:rPr>
          <w:rStyle w:val="FootnoteReference"/>
          <w:rFonts w:cstheme="minorHAnsi"/>
          <w:vertAlign w:val="subscript"/>
          <w:lang w:val="sr"/>
        </w:rPr>
        <w:footnoteRef/>
      </w:r>
      <w:r>
        <w:rPr>
          <w:rStyle w:val="FootnoteReference"/>
          <w:rFonts w:cstheme="minorHAnsi"/>
          <w:vertAlign w:val="subscript"/>
          <w:lang w:val="sr"/>
        </w:rPr>
        <w:t xml:space="preserve"> </w:t>
      </w:r>
    </w:p>
  </w:footnote>
  <w:footnote w:id="26">
    <w:p w14:paraId="57536E4E" w14:textId="77777777" w:rsidR="00CD6592" w:rsidRPr="00AC3BDF" w:rsidRDefault="00CD6592"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Министарство за људска и мањинска права и друштвени дијалог, Извештај о јавним консултацијама о Нацрту ревидиране стратегије за социјално укључивање Рома и Ромкиња у Републици Србији за период 2022–2030, онлајн, доступно на: </w:t>
      </w:r>
      <w:hyperlink r:id="rId8" w:history="1">
        <w:r>
          <w:rPr>
            <w:rStyle w:val="FootnoteReference"/>
            <w:rFonts w:cstheme="minorHAnsi"/>
            <w:lang w:val="sr"/>
          </w:rPr>
          <w:t>https://www.minljmpdd.gov.rs/doc/konsultacije/Izvestaj-sa-Javnih-konsultacija-Strategija.doc</w:t>
        </w:r>
      </w:hyperlink>
      <w:r>
        <w:rPr>
          <w:rStyle w:val="FootnoteReference"/>
          <w:rFonts w:cstheme="minorHAnsi"/>
          <w:lang w:val="sr"/>
        </w:rPr>
        <w:t xml:space="preserve"> </w:t>
      </w:r>
    </w:p>
  </w:footnote>
  <w:footnote w:id="27">
    <w:p w14:paraId="36BB796F" w14:textId="77777777" w:rsidR="00CD6592" w:rsidRPr="00AC3BDF" w:rsidRDefault="00CD6592"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Министарство за људска и мањинска права и друштвени дијалог, Полазне основе, Стратегија за борбу против дискриминације за период 2021–2030, онлајн, доступно на: </w:t>
      </w:r>
      <w:hyperlink r:id="rId9" w:history="1">
        <w:r>
          <w:rPr>
            <w:rStyle w:val="FootnoteReference"/>
            <w:rFonts w:cstheme="minorHAnsi"/>
            <w:lang w:val="sr"/>
          </w:rPr>
          <w:t>https://www.minljmpdd.gov.rs/doc/konsultacije/Polazne-osnove261021.pdf</w:t>
        </w:r>
      </w:hyperlink>
      <w:r>
        <w:rPr>
          <w:rStyle w:val="FootnoteReference"/>
          <w:rFonts w:cstheme="minorHAnsi"/>
          <w:lang w:val="sr"/>
        </w:rPr>
        <w:t xml:space="preserve"> </w:t>
      </w:r>
    </w:p>
  </w:footnote>
  <w:footnote w:id="28">
    <w:p w14:paraId="512E5BA8" w14:textId="77777777" w:rsidR="005F6192" w:rsidRPr="00AC3BDF" w:rsidRDefault="005F6192"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w:t>
      </w:r>
      <w:r>
        <w:rPr>
          <w:rStyle w:val="FootnoteReference"/>
          <w:rFonts w:cstheme="minorHAnsi"/>
          <w:i/>
          <w:iCs/>
          <w:lang w:val="sr"/>
        </w:rPr>
        <w:t>VOICE</w:t>
      </w:r>
      <w:r>
        <w:rPr>
          <w:rStyle w:val="FootnoteReference"/>
          <w:rFonts w:cstheme="minorHAnsi"/>
          <w:lang w:val="sr"/>
        </w:rPr>
        <w:t xml:space="preserve">, ВИШЕ ОД 750 ВИЈЕТНАМАЦА И КИНЕЗА У ИНДУСТРИЈСКОЈ ЗОНИ ЗРЕЊАНИН: БЕЗНАЂЕ НЕВИДЉИВИХ, онлајн, доступно на: </w:t>
      </w:r>
      <w:hyperlink r:id="rId10" w:history="1">
        <w:r>
          <w:rPr>
            <w:rStyle w:val="FootnoteReference"/>
            <w:rFonts w:cstheme="minorHAnsi"/>
            <w:lang w:val="sr"/>
          </w:rPr>
          <w:t>https://voice.org.rs/vise-od-750-vijetnamaca-i-kineza-u-industrijskoj-zoni-zrenjanin-beznade-nevidljivih/</w:t>
        </w:r>
      </w:hyperlink>
      <w:r>
        <w:rPr>
          <w:rStyle w:val="FootnoteReference"/>
          <w:rFonts w:cstheme="minorHAnsi"/>
          <w:lang w:val="sr"/>
        </w:rPr>
        <w:t xml:space="preserve"> </w:t>
      </w:r>
    </w:p>
  </w:footnote>
  <w:footnote w:id="29">
    <w:p w14:paraId="7A7F2F0B" w14:textId="77777777" w:rsidR="0056450B" w:rsidRPr="00AC3BDF" w:rsidRDefault="0056450B"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За више информација о условима живота и рада вијетнамских радника погледајте: А 11 – Иницијатива за економска и социјална права, АСТРА, Услови живота и рада грађевинских радника из Вијетнама у фабрици „Линглонг”, онлајн, доступно на: </w:t>
      </w:r>
      <w:hyperlink r:id="rId11" w:history="1">
        <w:r>
          <w:rPr>
            <w:rStyle w:val="FootnoteReference"/>
            <w:rFonts w:cstheme="minorHAnsi"/>
            <w:lang w:val="sr"/>
          </w:rPr>
          <w:t>https://www.a11initiative.org/wp-content/uploads/2021/12/Report_Ling-Long_ENG.pdf</w:t>
        </w:r>
      </w:hyperlink>
      <w:r>
        <w:rPr>
          <w:rStyle w:val="FootnoteReference"/>
          <w:rFonts w:cstheme="minorHAnsi"/>
          <w:lang w:val="sr"/>
        </w:rPr>
        <w:t xml:space="preserve"> </w:t>
      </w:r>
    </w:p>
  </w:footnote>
  <w:footnote w:id="30">
    <w:p w14:paraId="7C3CB23A" w14:textId="77777777" w:rsidR="00454A2D" w:rsidRPr="00AC3BDF" w:rsidRDefault="00454A2D"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Интервјуи са радницима, 14. новембар 2021, подаци у досијеу А 11 – Иницијативе за економска и социјална права и АСТРЕ. </w:t>
      </w:r>
    </w:p>
  </w:footnote>
  <w:footnote w:id="31">
    <w:p w14:paraId="3F8E5760" w14:textId="77777777" w:rsidR="006A0D86" w:rsidRPr="00AC3BDF" w:rsidRDefault="006A0D86"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Уговор о раду са вијетнамским радницима, онлајн, доступан на: </w:t>
      </w:r>
      <w:hyperlink r:id="rId12" w:history="1">
        <w:r>
          <w:rPr>
            <w:rStyle w:val="FootnoteReference"/>
            <w:rFonts w:cstheme="minorHAnsi"/>
            <w:lang w:val="sr"/>
          </w:rPr>
          <w:t>https://pescanik.net/wp-content/uploads/2021/12/ugovor-o-radu.pdf</w:t>
        </w:r>
      </w:hyperlink>
      <w:r>
        <w:rPr>
          <w:rStyle w:val="FootnoteReference"/>
          <w:rFonts w:cstheme="minorHAnsi"/>
          <w:lang w:val="sr"/>
        </w:rPr>
        <w:t xml:space="preserve"> </w:t>
      </w:r>
    </w:p>
  </w:footnote>
  <w:footnote w:id="32">
    <w:p w14:paraId="52BAE4E7" w14:textId="77777777" w:rsidR="00A2154D" w:rsidRPr="00AC3BDF" w:rsidRDefault="00A2154D"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Изјава „да неће побећи”, потписана од стране радника, онлајн, доступно на: </w:t>
      </w:r>
      <w:hyperlink r:id="rId13" w:history="1">
        <w:r>
          <w:rPr>
            <w:rStyle w:val="FootnoteReference"/>
            <w:rFonts w:cstheme="minorHAnsi"/>
            <w:lang w:val="sr"/>
          </w:rPr>
          <w:t>https://pescanik.net/wp-content/uploads/2021/12/izjava-da-nece-pobeci.pdf</w:t>
        </w:r>
      </w:hyperlink>
      <w:r>
        <w:rPr>
          <w:rStyle w:val="FootnoteReference"/>
          <w:rFonts w:cstheme="minorHAnsi"/>
          <w:lang w:val="sr"/>
        </w:rPr>
        <w:t xml:space="preserve"> </w:t>
      </w:r>
    </w:p>
  </w:footnote>
  <w:footnote w:id="33">
    <w:p w14:paraId="66EC4264" w14:textId="77777777" w:rsidR="00D12406" w:rsidRPr="00AC3BDF" w:rsidRDefault="00D12406"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Дописи су упућени следећим институцијама: Републичко јавно тужилаштво, Више јавно тужилаштво у Зрењанину, Канцеларија за координацију активности у борби против трговине људима, Полицијска управа Зрењанин, Министарство за рад, запошљавање, борачка и социјална питања / Сектор за социјалну заштиту / Центар за заштиту жртава трговине људима, Инспекција рада, Инспекција рада у Зрењанину, Министарство здравља – Одељење санитарне инспекције и Канцеларија омбудсмана.</w:t>
      </w:r>
    </w:p>
  </w:footnote>
  <w:footnote w:id="34">
    <w:p w14:paraId="10BBD351" w14:textId="77777777" w:rsidR="009F4358" w:rsidRPr="00AC3BDF" w:rsidRDefault="009F4358"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Аудио снимак покушаја посете радницима, А 11 – Иницијатива за економска и социјална права, 21. новембар 2021. </w:t>
      </w:r>
    </w:p>
  </w:footnote>
  <w:footnote w:id="35">
    <w:p w14:paraId="10A68DDD" w14:textId="77777777" w:rsidR="00D12406" w:rsidRPr="00AC3BDF" w:rsidRDefault="00D12406"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w:t>
      </w:r>
      <w:r>
        <w:rPr>
          <w:rStyle w:val="FootnoteReference"/>
          <w:rFonts w:cstheme="minorHAnsi"/>
          <w:i/>
          <w:iCs/>
          <w:lang w:val="sr"/>
        </w:rPr>
        <w:t>Balkan Insight</w:t>
      </w:r>
      <w:r>
        <w:rPr>
          <w:rStyle w:val="FootnoteReference"/>
          <w:rFonts w:cstheme="minorHAnsi"/>
          <w:lang w:val="sr"/>
        </w:rPr>
        <w:t xml:space="preserve">, Документи откривају обим експлоатације на локацији кинеске фабрике гума у ​​Србији, 29. новембар 2021, доступно на: </w:t>
      </w:r>
      <w:hyperlink r:id="rId14" w:history="1">
        <w:r>
          <w:rPr>
            <w:rStyle w:val="FootnoteReference"/>
            <w:rFonts w:cstheme="minorHAnsi"/>
            <w:lang w:val="sr"/>
          </w:rPr>
          <w:t>https://balkaninsight.com/2021/11/29/documents-reveal-extent-of-exploitation-at-chinese-tire-site-in-serbia</w:t>
        </w:r>
      </w:hyperlink>
    </w:p>
  </w:footnote>
  <w:footnote w:id="36">
    <w:p w14:paraId="609D1D0B" w14:textId="77777777" w:rsidR="00570BA5" w:rsidRPr="00AC3BDF" w:rsidRDefault="00570BA5"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w:t>
      </w:r>
      <w:r>
        <w:rPr>
          <w:rStyle w:val="FootnoteReference"/>
          <w:rFonts w:cstheme="minorHAnsi"/>
          <w:i/>
          <w:iCs/>
          <w:lang w:val="sr"/>
        </w:rPr>
        <w:t>Euronews</w:t>
      </w:r>
      <w:r>
        <w:rPr>
          <w:rStyle w:val="FootnoteReference"/>
          <w:rFonts w:cstheme="minorHAnsi"/>
          <w:lang w:val="sr"/>
        </w:rPr>
        <w:t xml:space="preserve">, Министарство: Радници из Вијетнама који су ангажовани на градњи фабрике Линглонг премештени на другу локацију, онлајн, доступно на: </w:t>
      </w:r>
      <w:hyperlink r:id="rId15" w:history="1">
        <w:r>
          <w:rPr>
            <w:rStyle w:val="FootnoteReference"/>
            <w:rFonts w:cstheme="minorHAnsi"/>
            <w:lang w:val="sr"/>
          </w:rPr>
          <w:t>https://www.euronews.rs/srbija/politika/25578/ministarstvo-radnici-iz-vijetnama-koji-su-angazovani-na-gradnji-fabrike-linglong-premesteni-na-drugu-lokaciju/vest</w:t>
        </w:r>
      </w:hyperlink>
      <w:r>
        <w:rPr>
          <w:rStyle w:val="FootnoteReference"/>
          <w:rFonts w:cstheme="minorHAnsi"/>
          <w:lang w:val="sr"/>
        </w:rPr>
        <w:t xml:space="preserve"> </w:t>
      </w:r>
    </w:p>
  </w:footnote>
  <w:footnote w:id="37">
    <w:p w14:paraId="06700CF6" w14:textId="77777777" w:rsidR="00B825CF" w:rsidRPr="00AC3BDF" w:rsidRDefault="00B825CF"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Министарство грађевинарства, саобраћаја и инфраструктуре, Момировић: Фабрика Линглонг најконтролисаније градилиште у Србији, извршено до сада педесет инспекцијских надзора, онлајн, доступно на:  </w:t>
      </w:r>
      <w:hyperlink r:id="rId16" w:history="1">
        <w:r>
          <w:rPr>
            <w:rStyle w:val="FootnoteReference"/>
            <w:rFonts w:cstheme="minorHAnsi"/>
            <w:lang w:val="sr"/>
          </w:rPr>
          <w:t>https://www.mgsi.gov.rs/cir/aktuelnosti/momirovitsh-fabrika-linglong-najkontrolisanije-gradilishte-u-srbiji-izvrsheno-do-sada</w:t>
        </w:r>
      </w:hyperlink>
      <w:r>
        <w:rPr>
          <w:rStyle w:val="FootnoteReference"/>
          <w:rFonts w:cstheme="minorHAnsi"/>
          <w:lang w:val="sr"/>
        </w:rPr>
        <w:t xml:space="preserve"> </w:t>
      </w:r>
    </w:p>
  </w:footnote>
  <w:footnote w:id="38">
    <w:p w14:paraId="13ADE44E" w14:textId="77777777" w:rsidR="00DF6064" w:rsidRPr="00AC3BDF" w:rsidRDefault="00DF6064"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А 11 – Иницијатива за економска и социјална права, захтеви за приступ информацијама од јавног значаја поднети Министарству унутрашњих послова, Министарству за рад, запошљавање, борачка и социјална питања и Министарству грађевинарства, саобраћаја и инфраструктуре 25. новембра 2021. године и 10. јануара 2022. године. </w:t>
      </w:r>
    </w:p>
  </w:footnote>
  <w:footnote w:id="39">
    <w:p w14:paraId="111C3AE3" w14:textId="77777777" w:rsidR="007C066F" w:rsidRPr="00AC3BDF" w:rsidRDefault="007C066F"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Европски парламент, Резолуција од 16. децембра 2021. о принудном раду у фабрици Линглонг и еколошким протестима у Србији, доступно на: </w:t>
      </w:r>
      <w:hyperlink r:id="rId17" w:history="1">
        <w:r>
          <w:rPr>
            <w:rStyle w:val="FootnoteReference"/>
            <w:rFonts w:cstheme="minorHAnsi"/>
            <w:lang w:val="sr"/>
          </w:rPr>
          <w:t>https://www.europarl.europa.eu/doceo/document/TA-9-2021-0511_EN.html</w:t>
        </w:r>
      </w:hyperlink>
    </w:p>
  </w:footnote>
  <w:footnote w:id="40">
    <w:p w14:paraId="030BD2F0" w14:textId="77777777" w:rsidR="009736F9" w:rsidRPr="00AC3BDF" w:rsidRDefault="009736F9"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Стопа незапослености међу младима, 15–24 година, износи 23,1% у трећем кварталу 2021. Више информација доступно на: Републички завод за статистику Србије, </w:t>
      </w:r>
      <w:hyperlink r:id="rId18" w:history="1">
        <w:r>
          <w:rPr>
            <w:rStyle w:val="FootnoteReference"/>
            <w:rFonts w:cstheme="minorHAnsi"/>
            <w:lang w:val="sr"/>
          </w:rPr>
          <w:t>https://www.stat.gov.rs/sr-Latn/oblasti/trziste-rada/anketa-o-radnoj-snazi</w:t>
        </w:r>
      </w:hyperlink>
      <w:r>
        <w:rPr>
          <w:rStyle w:val="FootnoteReference"/>
          <w:rFonts w:cstheme="minorHAnsi"/>
          <w:lang w:val="sr"/>
        </w:rPr>
        <w:t xml:space="preserve"> </w:t>
      </w:r>
    </w:p>
  </w:footnote>
  <w:footnote w:id="41">
    <w:p w14:paraId="77A7E4B3" w14:textId="77777777" w:rsidR="00CD042C" w:rsidRPr="00AC3BDF" w:rsidRDefault="00CD042C"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Национална служба за запошљавање, Јавни позив, онлајн, доступно на: </w:t>
      </w:r>
      <w:hyperlink r:id="rId19" w:history="1">
        <w:r>
          <w:rPr>
            <w:rStyle w:val="FootnoteReference"/>
            <w:rFonts w:cstheme="minorHAnsi"/>
            <w:lang w:val="sr"/>
          </w:rPr>
          <w:t>https://mojaprvaplata.gov.rs/Dokumenta/JavniPoziv.pdf</w:t>
        </w:r>
      </w:hyperlink>
      <w:r>
        <w:rPr>
          <w:rStyle w:val="FootnoteReference"/>
          <w:rFonts w:cstheme="minorHAnsi"/>
          <w:lang w:val="sr"/>
        </w:rPr>
        <w:t xml:space="preserve"> </w:t>
      </w:r>
    </w:p>
  </w:footnote>
  <w:footnote w:id="42">
    <w:p w14:paraId="7EFDAAFA" w14:textId="77777777" w:rsidR="0011058D" w:rsidRPr="00AC3BDF" w:rsidRDefault="0011058D"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За више информације погледајте: </w:t>
      </w:r>
      <w:hyperlink r:id="rId20" w:history="1">
        <w:r>
          <w:rPr>
            <w:rStyle w:val="FootnoteReference"/>
            <w:rFonts w:cstheme="minorHAnsi"/>
            <w:lang w:val="sr"/>
          </w:rPr>
          <w:t>https://fren.org.rs/wp-content/uploads/2021/06/Youth-situation-in-Serbia-Employment-skills-and-social-inclusion.pdf</w:t>
        </w:r>
      </w:hyperlink>
    </w:p>
  </w:footnote>
  <w:footnote w:id="43">
    <w:p w14:paraId="649524A4" w14:textId="77777777" w:rsidR="00CD042C" w:rsidRPr="00AC3BDF" w:rsidRDefault="00CD042C"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Податке и анализу пружила РОЗА - Удружење за радна права жена.</w:t>
      </w:r>
    </w:p>
  </w:footnote>
  <w:footnote w:id="44">
    <w:p w14:paraId="48AB901A" w14:textId="77777777" w:rsidR="00504CD0" w:rsidRPr="00AC3BDF" w:rsidRDefault="00504CD0"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Службени гласник РС, бр. 24/2005, 61/2005, 54/2009, 32/2013, 75/2014, 13/2017 – Одлука УС, 113/2017 и 95/2018 – аутентично тумачење.</w:t>
      </w:r>
    </w:p>
  </w:footnote>
  <w:footnote w:id="45">
    <w:p w14:paraId="78C41E31" w14:textId="77777777" w:rsidR="00862E6F" w:rsidRPr="00AC3BDF" w:rsidRDefault="00862E6F"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Обично се вредност релевантна у марту или априлу користи као основа за одређивање минималне цене рада у августу и септембру, када се води трипартитни дијалог.</w:t>
      </w:r>
    </w:p>
  </w:footnote>
  <w:footnote w:id="46">
    <w:p w14:paraId="16C73B75" w14:textId="77777777" w:rsidR="005E55DB" w:rsidRPr="00D217A0" w:rsidRDefault="005E55DB" w:rsidP="00E60859">
      <w:pPr>
        <w:pStyle w:val="FootnoteText"/>
        <w:ind w:left="-426"/>
        <w:rPr>
          <w:rStyle w:val="FootnoteReference"/>
        </w:rPr>
      </w:pPr>
      <w:r>
        <w:rPr>
          <w:rStyle w:val="FootnoteReference"/>
          <w:lang w:val="sr"/>
        </w:rPr>
        <w:footnoteRef/>
      </w:r>
      <w:r>
        <w:rPr>
          <w:rStyle w:val="FootnoteReference"/>
          <w:lang w:val="sr"/>
        </w:rPr>
        <w:t xml:space="preserve"> Нема доступних података о просечној заради за целу 2021. годину. </w:t>
      </w:r>
    </w:p>
  </w:footnote>
  <w:footnote w:id="47">
    <w:p w14:paraId="7440C281" w14:textId="77777777" w:rsidR="00AF7173" w:rsidRPr="00D217A0" w:rsidRDefault="00AF7173" w:rsidP="00AF7173">
      <w:pPr>
        <w:pBdr>
          <w:top w:val="nil"/>
          <w:left w:val="nil"/>
          <w:bottom w:val="nil"/>
          <w:right w:val="nil"/>
          <w:between w:val="nil"/>
        </w:pBdr>
        <w:spacing w:after="0" w:line="240" w:lineRule="auto"/>
        <w:ind w:left="-426"/>
        <w:rPr>
          <w:rStyle w:val="FootnoteReference"/>
          <w:sz w:val="20"/>
          <w:szCs w:val="20"/>
        </w:rPr>
      </w:pPr>
      <w:r>
        <w:rPr>
          <w:rStyle w:val="FootnoteReference"/>
          <w:sz w:val="20"/>
          <w:szCs w:val="20"/>
          <w:lang w:val="sr"/>
        </w:rPr>
        <w:footnoteRef/>
      </w:r>
      <w:r>
        <w:rPr>
          <w:rStyle w:val="FootnoteReference"/>
          <w:sz w:val="20"/>
          <w:szCs w:val="20"/>
          <w:lang w:val="sr"/>
        </w:rPr>
        <w:t xml:space="preserve"> Службени гласник РС, број 24/2011. </w:t>
      </w:r>
    </w:p>
  </w:footnote>
  <w:footnote w:id="48">
    <w:p w14:paraId="7372C83F" w14:textId="77777777" w:rsidR="00AF7173" w:rsidRPr="00D217A0" w:rsidRDefault="00AF7173" w:rsidP="00AF7173">
      <w:pPr>
        <w:pBdr>
          <w:top w:val="nil"/>
          <w:left w:val="nil"/>
          <w:bottom w:val="nil"/>
          <w:right w:val="nil"/>
          <w:between w:val="nil"/>
        </w:pBdr>
        <w:spacing w:after="0" w:line="240" w:lineRule="auto"/>
        <w:ind w:left="-426"/>
        <w:rPr>
          <w:rStyle w:val="FootnoteReference"/>
          <w:sz w:val="20"/>
          <w:szCs w:val="20"/>
        </w:rPr>
      </w:pPr>
      <w:r>
        <w:rPr>
          <w:rStyle w:val="FootnoteReference"/>
          <w:sz w:val="20"/>
          <w:szCs w:val="20"/>
          <w:lang w:val="sr"/>
        </w:rPr>
        <w:footnoteRef/>
      </w:r>
      <w:r>
        <w:rPr>
          <w:rStyle w:val="FootnoteReference"/>
          <w:sz w:val="20"/>
          <w:szCs w:val="20"/>
          <w:lang w:val="sr"/>
        </w:rPr>
        <w:t xml:space="preserve"> Службени гласник РС, број 44/2020-176. </w:t>
      </w:r>
    </w:p>
  </w:footnote>
  <w:footnote w:id="49">
    <w:p w14:paraId="1578FC9F" w14:textId="77777777" w:rsidR="00AF7173" w:rsidRPr="00D217A0" w:rsidRDefault="00AF7173" w:rsidP="00AF7173">
      <w:pPr>
        <w:pBdr>
          <w:top w:val="nil"/>
          <w:left w:val="nil"/>
          <w:bottom w:val="nil"/>
          <w:right w:val="nil"/>
          <w:between w:val="nil"/>
        </w:pBdr>
        <w:spacing w:after="0" w:line="240" w:lineRule="auto"/>
        <w:ind w:left="-426"/>
        <w:rPr>
          <w:rStyle w:val="FootnoteReference"/>
          <w:sz w:val="20"/>
          <w:szCs w:val="20"/>
        </w:rPr>
      </w:pPr>
      <w:r>
        <w:rPr>
          <w:rStyle w:val="FootnoteReference"/>
          <w:sz w:val="20"/>
          <w:szCs w:val="20"/>
          <w:lang w:val="sr"/>
        </w:rPr>
        <w:footnoteRef/>
      </w:r>
      <w:r>
        <w:rPr>
          <w:rStyle w:val="FootnoteReference"/>
          <w:sz w:val="20"/>
          <w:szCs w:val="20"/>
          <w:lang w:val="sr"/>
        </w:rPr>
        <w:t xml:space="preserve"> Комитет за права особа са инвалидитетом, Закључна запажања о почетном извештају Србије, 2016.</w:t>
      </w:r>
    </w:p>
  </w:footnote>
  <w:footnote w:id="50">
    <w:p w14:paraId="5D800A3F" w14:textId="77777777" w:rsidR="00AF7173" w:rsidRPr="00D217A0" w:rsidRDefault="00AF7173" w:rsidP="00AF7173">
      <w:pPr>
        <w:pBdr>
          <w:top w:val="nil"/>
          <w:left w:val="nil"/>
          <w:bottom w:val="nil"/>
          <w:right w:val="nil"/>
          <w:between w:val="nil"/>
        </w:pBdr>
        <w:spacing w:after="0" w:line="240" w:lineRule="auto"/>
        <w:ind w:left="-426"/>
        <w:rPr>
          <w:rStyle w:val="FootnoteReference"/>
          <w:sz w:val="20"/>
          <w:szCs w:val="20"/>
        </w:rPr>
      </w:pPr>
      <w:r>
        <w:rPr>
          <w:rStyle w:val="FootnoteReference"/>
          <w:sz w:val="20"/>
          <w:szCs w:val="20"/>
          <w:lang w:val="sr"/>
        </w:rPr>
        <w:footnoteRef/>
      </w:r>
      <w:r>
        <w:rPr>
          <w:rStyle w:val="FootnoteReference"/>
          <w:sz w:val="20"/>
          <w:szCs w:val="20"/>
          <w:lang w:val="sr"/>
        </w:rPr>
        <w:t xml:space="preserve"> Тим за социјално укључивање и смањење сиромаштва Владе Републике Србије, Мапирање услуга социјалне заштите и материјалне подршке у надлежности јединица локалне самоуправе у Републици Србији, 2020, доступно на: </w:t>
      </w:r>
      <w:hyperlink r:id="rId21">
        <w:r>
          <w:rPr>
            <w:rStyle w:val="FootnoteReference"/>
            <w:sz w:val="20"/>
            <w:szCs w:val="20"/>
            <w:lang w:val="sr"/>
          </w:rPr>
          <w:t>http://www.cilsrbija.org/ebib/202112010903510.Mapiranje_usluga_socijalne_zastite_i_materijalne_podrske_u_nadleznosti_JLS_u_RS-2020_opt.pdf</w:t>
        </w:r>
      </w:hyperlink>
      <w:r>
        <w:rPr>
          <w:rStyle w:val="FootnoteReference"/>
          <w:sz w:val="20"/>
          <w:szCs w:val="20"/>
          <w:lang w:val="sr"/>
        </w:rPr>
        <w:t xml:space="preserve"> (само на српском)</w:t>
      </w:r>
    </w:p>
  </w:footnote>
  <w:footnote w:id="51">
    <w:p w14:paraId="1415EC5B" w14:textId="77777777" w:rsidR="00AF7173" w:rsidRPr="00D217A0" w:rsidRDefault="00AF7173" w:rsidP="00AF7173">
      <w:pPr>
        <w:pBdr>
          <w:top w:val="nil"/>
          <w:left w:val="nil"/>
          <w:bottom w:val="nil"/>
          <w:right w:val="nil"/>
          <w:between w:val="nil"/>
        </w:pBdr>
        <w:spacing w:after="0" w:line="240" w:lineRule="auto"/>
        <w:ind w:left="-426"/>
        <w:rPr>
          <w:rStyle w:val="FootnoteReference"/>
          <w:sz w:val="20"/>
          <w:szCs w:val="20"/>
        </w:rPr>
      </w:pPr>
      <w:r>
        <w:rPr>
          <w:rStyle w:val="FootnoteReference"/>
          <w:sz w:val="20"/>
          <w:szCs w:val="20"/>
          <w:lang w:val="sr"/>
        </w:rPr>
        <w:footnoteRef/>
      </w:r>
      <w:r>
        <w:rPr>
          <w:rStyle w:val="FootnoteReference"/>
          <w:sz w:val="20"/>
          <w:szCs w:val="20"/>
          <w:lang w:val="sr"/>
        </w:rPr>
        <w:t xml:space="preserve"> За више информације погледајте: </w:t>
      </w:r>
      <w:hyperlink r:id="rId22" w:history="1">
        <w:r>
          <w:rPr>
            <w:rStyle w:val="FootnoteReference"/>
            <w:sz w:val="20"/>
            <w:szCs w:val="20"/>
            <w:lang w:val="sr"/>
          </w:rPr>
          <w:t>http://www.zavodsz.gov.rs/media/2163/punoletni-u-sistemu-socijalne-zastite-u-2020.pdf</w:t>
        </w:r>
      </w:hyperlink>
      <w:r>
        <w:rPr>
          <w:rStyle w:val="FootnoteReference"/>
          <w:sz w:val="20"/>
          <w:szCs w:val="20"/>
          <w:lang w:val="sr"/>
        </w:rPr>
        <w:t xml:space="preserve"> </w:t>
      </w:r>
    </w:p>
  </w:footnote>
  <w:footnote w:id="52">
    <w:p w14:paraId="28190DE4" w14:textId="77777777" w:rsidR="00AF7173" w:rsidRPr="00D217A0" w:rsidRDefault="00AF7173" w:rsidP="00AF7173">
      <w:pPr>
        <w:pBdr>
          <w:top w:val="nil"/>
          <w:left w:val="nil"/>
          <w:bottom w:val="nil"/>
          <w:right w:val="nil"/>
          <w:between w:val="nil"/>
        </w:pBdr>
        <w:spacing w:after="0" w:line="240" w:lineRule="auto"/>
        <w:ind w:left="-426"/>
        <w:rPr>
          <w:rStyle w:val="FootnoteReference"/>
          <w:sz w:val="20"/>
          <w:szCs w:val="20"/>
        </w:rPr>
      </w:pPr>
      <w:r>
        <w:rPr>
          <w:rStyle w:val="FootnoteReference"/>
          <w:sz w:val="20"/>
          <w:szCs w:val="20"/>
          <w:lang w:val="sr"/>
        </w:rPr>
        <w:footnoteRef/>
      </w:r>
      <w:r>
        <w:rPr>
          <w:rStyle w:val="FootnoteReference"/>
          <w:sz w:val="20"/>
          <w:szCs w:val="20"/>
          <w:lang w:val="sr"/>
        </w:rPr>
        <w:t xml:space="preserve"> Тим за социјално укључивање и смањење сиромаштва Владе Републике Србије, Мапирање услуга социјалне заштите и материјалне подршке у надлежности јединица локалне самоуправе у Републици Србији</w:t>
      </w:r>
    </w:p>
  </w:footnote>
  <w:footnote w:id="53">
    <w:p w14:paraId="6436AB75" w14:textId="77777777" w:rsidR="00AF7173" w:rsidRPr="00AC3BDF" w:rsidRDefault="00AF7173" w:rsidP="00AF7173">
      <w:pPr>
        <w:pBdr>
          <w:top w:val="nil"/>
          <w:left w:val="nil"/>
          <w:bottom w:val="nil"/>
          <w:right w:val="nil"/>
          <w:between w:val="nil"/>
        </w:pBdr>
        <w:spacing w:after="0" w:line="240" w:lineRule="auto"/>
        <w:ind w:left="-426"/>
        <w:rPr>
          <w:rStyle w:val="FootnoteReference"/>
          <w:rFonts w:asciiTheme="minorHAnsi" w:hAnsiTheme="minorHAnsi" w:cstheme="minorHAnsi"/>
        </w:rPr>
      </w:pPr>
      <w:r>
        <w:rPr>
          <w:rStyle w:val="FootnoteReference"/>
          <w:sz w:val="20"/>
          <w:szCs w:val="20"/>
          <w:lang w:val="sr"/>
        </w:rPr>
        <w:footnoteRef/>
      </w:r>
      <w:r>
        <w:rPr>
          <w:rStyle w:val="FootnoteReference"/>
          <w:sz w:val="20"/>
          <w:szCs w:val="20"/>
          <w:lang w:val="sr"/>
        </w:rPr>
        <w:t xml:space="preserve"> За више информације погледајте: </w:t>
      </w:r>
      <w:hyperlink r:id="rId23" w:history="1">
        <w:r>
          <w:rPr>
            <w:rStyle w:val="FootnoteReference"/>
            <w:sz w:val="20"/>
            <w:szCs w:val="20"/>
            <w:lang w:val="sr"/>
          </w:rPr>
          <w:t>http://www.zavodsz.gov.rs/media/2163/punoletni-u-sistemu-socijalne-zastite-u-2020.pdf</w:t>
        </w:r>
      </w:hyperlink>
      <w:r>
        <w:rPr>
          <w:rStyle w:val="FootnoteReference"/>
          <w:lang w:val="sr"/>
        </w:rPr>
        <w:t xml:space="preserve"> </w:t>
      </w:r>
    </w:p>
  </w:footnote>
  <w:footnote w:id="54">
    <w:p w14:paraId="205C9A39" w14:textId="77777777" w:rsidR="00B708F8" w:rsidRPr="00AC3BDF" w:rsidRDefault="00B708F8"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Службени гласник РС, бројеви 104/2016 и 9/2020. </w:t>
      </w:r>
    </w:p>
  </w:footnote>
  <w:footnote w:id="55">
    <w:p w14:paraId="1B9533B5" w14:textId="77777777" w:rsidR="000252EF" w:rsidRPr="00AC3BDF" w:rsidRDefault="000252EF"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Више информација о овом случају можете пронаћи овде: Европска банка за обнову и развој, ЈПП Београд чврсти отпад (Захтев #2), онлајн, доступно на: </w:t>
      </w:r>
      <w:hyperlink r:id="rId24" w:history="1">
        <w:r>
          <w:rPr>
            <w:rStyle w:val="FootnoteReference"/>
            <w:rFonts w:cstheme="minorHAnsi"/>
            <w:lang w:val="sr"/>
          </w:rPr>
          <w:t>https://www.ebrd.com/work-with-us/projects/ipam/2021/01.html</w:t>
        </w:r>
      </w:hyperlink>
      <w:r>
        <w:rPr>
          <w:rStyle w:val="FootnoteReference"/>
          <w:rFonts w:cstheme="minorHAnsi"/>
          <w:lang w:val="sr"/>
        </w:rPr>
        <w:t xml:space="preserve"> </w:t>
      </w:r>
    </w:p>
  </w:footnote>
  <w:footnote w:id="56">
    <w:p w14:paraId="45ED66AB" w14:textId="77777777" w:rsidR="000252EF" w:rsidRPr="00AC3BDF" w:rsidRDefault="000252EF"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Расељавање је извршено 28. децембра 2018. </w:t>
      </w:r>
    </w:p>
  </w:footnote>
  <w:footnote w:id="57">
    <w:p w14:paraId="3F8885A3" w14:textId="77777777" w:rsidR="007F5B3D" w:rsidRPr="00AC3BDF" w:rsidRDefault="007F5B3D"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За више информација погледајте: А 11 – Иницијатива за економска и социјална права, Више од 60 породица је без струје, док се Градска управа припрема за принудно исељење социјално угрожених, онлајн, доступно на: </w:t>
      </w:r>
      <w:hyperlink r:id="rId25" w:history="1">
        <w:r>
          <w:rPr>
            <w:rStyle w:val="FootnoteReference"/>
            <w:rFonts w:cstheme="minorHAnsi"/>
            <w:lang w:val="sr"/>
          </w:rPr>
          <w:t>https://www.a11initiative.org/en/more-than-60-families-are-without-electricity-supply-while-the-city-administration-is-preparing-for-the-forced-evictions-of-the-socially-endangered/</w:t>
        </w:r>
      </w:hyperlink>
      <w:r>
        <w:rPr>
          <w:rStyle w:val="FootnoteReference"/>
          <w:rFonts w:cstheme="minorHAnsi"/>
          <w:lang w:val="sr"/>
        </w:rPr>
        <w:t xml:space="preserve"> </w:t>
      </w:r>
    </w:p>
  </w:footnote>
  <w:footnote w:id="58">
    <w:p w14:paraId="737B9E0C" w14:textId="77777777" w:rsidR="00AE1308" w:rsidRPr="00AC3BDF" w:rsidRDefault="00AE1308"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Специјални известилац за право на адекватно становање, као компонента права на адекватан животни стандард и права на заштиту од дискриминације, у овом контексту у својој мисији у Србији и на Косову, 26. фебруар 2016. УН бр. док. </w:t>
      </w:r>
      <w:r>
        <w:rPr>
          <w:rStyle w:val="FootnoteReference"/>
          <w:rFonts w:cstheme="minorHAnsi"/>
          <w:i/>
          <w:iCs/>
          <w:lang w:val="sr"/>
        </w:rPr>
        <w:t>A/HRC/31/54/Add.2</w:t>
      </w:r>
    </w:p>
  </w:footnote>
  <w:footnote w:id="59">
    <w:p w14:paraId="686B1869" w14:textId="77777777" w:rsidR="00AE1308" w:rsidRPr="00AC3BDF" w:rsidRDefault="00AE1308"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Члан 136 став 2 Закона о становању и одржавању зграда</w:t>
      </w:r>
    </w:p>
  </w:footnote>
  <w:footnote w:id="60">
    <w:p w14:paraId="6F945D44" w14:textId="77777777" w:rsidR="00A22912" w:rsidRPr="00AC3BDF" w:rsidRDefault="00A22912"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Тим за социјално укључивање и смањење сиромаштва Владе Републике Србије и Тим Уједињених нација за људска права, Мапирање подстандардних ромских насеља према ризицима и приступу правима у Републици Србији, са нарочитим освртом на епидемију КОВИД-19, онлајн, доступно на: </w:t>
      </w:r>
      <w:hyperlink r:id="rId26" w:history="1">
        <w:r>
          <w:rPr>
            <w:rStyle w:val="FootnoteReference"/>
            <w:rFonts w:cstheme="minorHAnsi"/>
            <w:lang w:val="sr"/>
          </w:rPr>
          <w:t>http://socijalnoukljucivanje.gov.rs/en/mapping-of-substandard-roma-settlements-according-to-risks-and-access-to-rights-in-the-republic-of-serbia-with-particular-attention-to-the-covid-19-epidemic-published/</w:t>
        </w:r>
      </w:hyperlink>
      <w:r>
        <w:rPr>
          <w:rStyle w:val="FootnoteReference"/>
          <w:rFonts w:cstheme="minorHAnsi"/>
          <w:lang w:val="sr"/>
        </w:rPr>
        <w:t xml:space="preserve"> </w:t>
      </w:r>
    </w:p>
  </w:footnote>
  <w:footnote w:id="61">
    <w:p w14:paraId="29CAF3D7" w14:textId="77777777" w:rsidR="00A22912" w:rsidRPr="00AC3BDF" w:rsidRDefault="00A22912"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А 11 – Иницијатива за економска и социјална права, права другог реда, социјална права у светлу мера штедње, СРБИЈА, 2012 – 2020, стр. 35–36, онлајн, доступно на: </w:t>
      </w:r>
      <w:hyperlink r:id="rId27" w:history="1">
        <w:r>
          <w:rPr>
            <w:rStyle w:val="FootnoteReference"/>
            <w:rFonts w:cstheme="minorHAnsi"/>
            <w:lang w:val="sr"/>
          </w:rPr>
          <w:t>https://www.a11initiative.org/wp-content/uploads/2020/06/Second-Class-Rights_Social-Rights-in-the-Light-of-Austerity-Measures-SERBIA-2012-%E2%80%93-2020.pdf</w:t>
        </w:r>
      </w:hyperlink>
      <w:r>
        <w:rPr>
          <w:rStyle w:val="FootnoteReference"/>
          <w:rFonts w:cstheme="minorHAnsi"/>
          <w:lang w:val="sr"/>
        </w:rPr>
        <w:t xml:space="preserve"> </w:t>
      </w:r>
    </w:p>
  </w:footnote>
  <w:footnote w:id="62">
    <w:p w14:paraId="69F93593" w14:textId="77777777" w:rsidR="00AF02F5" w:rsidRPr="00AC3BDF" w:rsidRDefault="00AF02F5"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Службени гласник РС, бројеви 41/2018 и 54/2019.</w:t>
      </w:r>
    </w:p>
  </w:footnote>
  <w:footnote w:id="63">
    <w:p w14:paraId="18894AA1" w14:textId="77777777" w:rsidR="00AF02F5" w:rsidRPr="00AC3BDF" w:rsidRDefault="00AF02F5"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А 11 – Иницијатива за економска и социјална права, права другог реда, социјална права у светлу мера штедње, СРБИЈА, 2012 – 2020, стр. 36, онлајн, доступно на: </w:t>
      </w:r>
      <w:hyperlink r:id="rId28" w:history="1">
        <w:r>
          <w:rPr>
            <w:rStyle w:val="FootnoteReference"/>
            <w:rFonts w:cstheme="minorHAnsi"/>
            <w:lang w:val="sr"/>
          </w:rPr>
          <w:t>https://www.a11initiative.org/wp-content/uploads/2020/06/Second-Class-Rights_Social-Rights-in-the-Light-of-Austerity-Measures-SERBIA-2012-%E2%80%93-2020.pdf</w:t>
        </w:r>
      </w:hyperlink>
    </w:p>
  </w:footnote>
  <w:footnote w:id="64">
    <w:p w14:paraId="6600D07D" w14:textId="77777777" w:rsidR="00BD7DDA" w:rsidRPr="00AC3BDF" w:rsidRDefault="00BD7DDA"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Републички завод за статистику, Попис становништва, домаћинстава и станова 2011. у Републици Србији – Бескућници, 2014, доступно на: </w:t>
      </w:r>
      <w:hyperlink r:id="rId29" w:history="1">
        <w:r>
          <w:rPr>
            <w:rStyle w:val="FootnoteReference"/>
            <w:rFonts w:cstheme="minorHAnsi"/>
            <w:lang w:val="sr"/>
          </w:rPr>
          <w:t>http://publikacije.stat.gov.rs/G2014/Pdf/G20144011.pdf</w:t>
        </w:r>
      </w:hyperlink>
      <w:r>
        <w:rPr>
          <w:rStyle w:val="FootnoteReference"/>
          <w:rFonts w:cstheme="minorHAnsi"/>
          <w:lang w:val="sr"/>
        </w:rPr>
        <w:t xml:space="preserve"> (само на српском)</w:t>
      </w:r>
    </w:p>
  </w:footnote>
  <w:footnote w:id="65">
    <w:p w14:paraId="484B289F" w14:textId="77777777" w:rsidR="00BD7DDA" w:rsidRPr="00AC3BDF" w:rsidRDefault="00BD7DDA"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w:t>
      </w:r>
      <w:r>
        <w:rPr>
          <w:rStyle w:val="FootnoteReference"/>
          <w:rFonts w:cstheme="minorHAnsi"/>
          <w:i/>
          <w:iCs/>
          <w:lang w:val="sr"/>
        </w:rPr>
        <w:t>Ibid.</w:t>
      </w:r>
    </w:p>
  </w:footnote>
  <w:footnote w:id="66">
    <w:p w14:paraId="0662341B" w14:textId="77777777" w:rsidR="00BD7DDA" w:rsidRPr="00AC3BDF" w:rsidRDefault="00BD7DDA"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Извештај Специјалног известиоца за адекватно становање, као компонента права на адекватан животни стандард и о праву на заштиту од дискриминације у овом контексту, у својој мисији у Србији и на Косову, 2016, доступно на: </w:t>
      </w:r>
      <w:hyperlink r:id="rId30" w:history="1">
        <w:r>
          <w:rPr>
            <w:rStyle w:val="FootnoteReference"/>
            <w:rFonts w:cstheme="minorHAnsi"/>
            <w:lang w:val="sr"/>
          </w:rPr>
          <w:t>https://digitallibrary.un.org/record/831292</w:t>
        </w:r>
      </w:hyperlink>
      <w:r>
        <w:rPr>
          <w:rStyle w:val="FootnoteReference"/>
          <w:rFonts w:cstheme="minorHAnsi"/>
          <w:lang w:val="sr"/>
        </w:rPr>
        <w:t xml:space="preserve"> </w:t>
      </w:r>
    </w:p>
  </w:footnote>
  <w:footnote w:id="67">
    <w:p w14:paraId="0075A935" w14:textId="77777777" w:rsidR="00BD7DDA" w:rsidRPr="00AC3BDF" w:rsidRDefault="00BD7DDA"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Чикић Ј., Рајачић А., Бескућништво – теорија, превенција, интервенција, 2021, доступно на: </w:t>
      </w:r>
      <w:hyperlink r:id="rId31" w:history="1">
        <w:r>
          <w:rPr>
            <w:rStyle w:val="FootnoteReference"/>
            <w:rFonts w:cstheme="minorHAnsi"/>
            <w:lang w:val="sr"/>
          </w:rPr>
          <w:t>https://digitalna.ff.uns.ac.rs/sadrzaj/2021/978-86-6065-647-8</w:t>
        </w:r>
      </w:hyperlink>
      <w:r>
        <w:rPr>
          <w:rStyle w:val="FootnoteReference"/>
          <w:rFonts w:cstheme="minorHAnsi"/>
          <w:lang w:val="sr"/>
        </w:rPr>
        <w:t xml:space="preserve"> (само на српском)</w:t>
      </w:r>
    </w:p>
  </w:footnote>
  <w:footnote w:id="68">
    <w:p w14:paraId="3CE90EFA" w14:textId="77777777" w:rsidR="00BD7DDA" w:rsidRPr="00AC3BDF" w:rsidRDefault="00BD7DDA"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Службени гласник РС, број 13/2012</w:t>
      </w:r>
    </w:p>
  </w:footnote>
  <w:footnote w:id="69">
    <w:p w14:paraId="53F0538E" w14:textId="77777777" w:rsidR="00BD7DDA" w:rsidRPr="00AC3BDF" w:rsidRDefault="00BD7DDA"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Службени гласник РС, број 87/2011</w:t>
      </w:r>
    </w:p>
  </w:footnote>
  <w:footnote w:id="70">
    <w:p w14:paraId="45C23F82" w14:textId="77777777" w:rsidR="00D067B4" w:rsidRPr="00AC3BDF" w:rsidRDefault="00D067B4"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За више информација о приступу пријави пребивалишта погледајте: Платформа организација за сарадњу са механизмима УН за људска права, Алтернативни извештај за 71. седницу Одбора за економска, социјална и културна права, Преглед трећег периодичног извештаја Србије, стр. 2–5.</w:t>
      </w:r>
    </w:p>
  </w:footnote>
  <w:footnote w:id="71">
    <w:p w14:paraId="480B3EA9" w14:textId="77777777" w:rsidR="00BD7DDA" w:rsidRPr="00AC3BDF" w:rsidRDefault="00BD7DDA"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Према последњем извештају Завода за социјалну заштиту, у свим центрима за социјални рад широм Србије у 2020. години радило је само 1671 радника социјалне заштите са сталним радним односом, од којих је 1037 било задужено за вођење предмета корисника. Исте године, у извештају се наводи укупно 727.087 корисника центара за социјални рад. Извор: Републички завод за социјалну заштиту, Извештај о раду центара за социјални рад у 2020, јул 2021, доступно на: </w:t>
      </w:r>
      <w:hyperlink r:id="rId32" w:history="1">
        <w:r>
          <w:rPr>
            <w:rStyle w:val="FootnoteReference"/>
            <w:rFonts w:cstheme="minorHAnsi"/>
            <w:lang w:val="sr"/>
          </w:rPr>
          <w:t>http://www.zavodsz.gov.rs/media/2159/izvestaj-o-radu-csr-2020.pdf</w:t>
        </w:r>
      </w:hyperlink>
      <w:r>
        <w:rPr>
          <w:rStyle w:val="FootnoteReference"/>
          <w:rFonts w:cstheme="minorHAnsi"/>
          <w:lang w:val="sr"/>
        </w:rPr>
        <w:t xml:space="preserve"> (само на српском)      </w:t>
      </w:r>
    </w:p>
  </w:footnote>
  <w:footnote w:id="72">
    <w:p w14:paraId="726FAA77" w14:textId="77777777" w:rsidR="00BD7DDA" w:rsidRPr="00AC3BDF" w:rsidRDefault="00BD7DDA"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Саопштење градске секретрке за социјалну заштиту доступно на: </w:t>
      </w:r>
      <w:hyperlink r:id="rId33" w:history="1">
        <w:r>
          <w:rPr>
            <w:rStyle w:val="FootnoteReference"/>
            <w:rFonts w:cstheme="minorHAnsi"/>
            <w:lang w:val="sr"/>
          </w:rPr>
          <w:t>http://www.beograd.rs/lat/beoinfo/1787859-novi-objekat-za-smestaj-lica-bez-krova-na-vracaru/</w:t>
        </w:r>
      </w:hyperlink>
      <w:r>
        <w:rPr>
          <w:rStyle w:val="FootnoteReference"/>
          <w:rFonts w:cstheme="minorHAnsi"/>
          <w:lang w:val="sr"/>
        </w:rPr>
        <w:t xml:space="preserve"> (само на српском). </w:t>
      </w:r>
    </w:p>
  </w:footnote>
  <w:footnote w:id="73">
    <w:p w14:paraId="40EB859A" w14:textId="77777777" w:rsidR="00BD7DDA" w:rsidRPr="00AC3BDF" w:rsidRDefault="00BD7DDA"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Детаљније информације о пројекту доступне на: </w:t>
      </w:r>
      <w:hyperlink r:id="rId34" w:history="1">
        <w:r>
          <w:rPr>
            <w:rStyle w:val="FootnoteReference"/>
            <w:rFonts w:cstheme="minorHAnsi"/>
            <w:lang w:val="sr"/>
          </w:rPr>
          <w:t>https://novisad2022.rs/en/what-is-ecoc/</w:t>
        </w:r>
      </w:hyperlink>
      <w:r>
        <w:rPr>
          <w:rStyle w:val="FootnoteReference"/>
          <w:rFonts w:cstheme="minorHAnsi"/>
          <w:lang w:val="sr"/>
        </w:rPr>
        <w:t xml:space="preserve"> </w:t>
      </w:r>
    </w:p>
  </w:footnote>
  <w:footnote w:id="74">
    <w:p w14:paraId="26712DDA" w14:textId="77777777" w:rsidR="00BD7DDA" w:rsidRPr="00AC3BDF" w:rsidRDefault="00BD7DDA"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Министарство за рад, запошљавање, борачка и социјална питања, Управљање људским и социјалним ресурсима у центрима за социјални рад у Републици Србији, 16. јул 2018, доступно на: </w:t>
      </w:r>
      <w:hyperlink r:id="rId35" w:history="1">
        <w:r>
          <w:rPr>
            <w:rStyle w:val="FootnoteReference"/>
            <w:rFonts w:cstheme="minorHAnsi"/>
            <w:lang w:val="sr"/>
          </w:rPr>
          <w:t>https://www.minrzs.gov.rs/arhiva-internet-prezentacije-2019/files/upravljanje_ljudskim_i_socijalnim_resursima_u_centrima_za_socijalni_rad_u_republici_srbiji.pdf</w:t>
        </w:r>
      </w:hyperlink>
      <w:r>
        <w:rPr>
          <w:rStyle w:val="FootnoteReference"/>
          <w:rFonts w:cstheme="minorHAnsi"/>
          <w:lang w:val="sr"/>
        </w:rPr>
        <w:t xml:space="preserve"> (само на српском). </w:t>
      </w:r>
    </w:p>
  </w:footnote>
  <w:footnote w:id="75">
    <w:p w14:paraId="5EF8D3EB" w14:textId="77777777" w:rsidR="00BD7DDA" w:rsidRPr="00AC3BDF" w:rsidRDefault="00BD7DDA"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Мрежа психосоцијалних иновација, Извештај о мапирању локалних услуга фокусираних на ментално здравље, 2022.</w:t>
      </w:r>
    </w:p>
    <w:p w14:paraId="0AE6C267" w14:textId="77777777" w:rsidR="00BD7DDA" w:rsidRPr="00AC3BDF" w:rsidRDefault="00BD7DDA" w:rsidP="00E60859">
      <w:pPr>
        <w:pStyle w:val="FootnoteText"/>
        <w:ind w:left="-426"/>
        <w:rPr>
          <w:rStyle w:val="FootnoteReference"/>
          <w:rFonts w:asciiTheme="minorHAnsi" w:hAnsiTheme="minorHAnsi" w:cstheme="minorHAnsi"/>
        </w:rPr>
      </w:pPr>
      <w:r>
        <w:rPr>
          <w:rStyle w:val="FootnoteReference"/>
          <w:rFonts w:cstheme="minorHAnsi"/>
          <w:lang w:val="sr"/>
        </w:rPr>
        <w:t>(Извештај је у припреми – подаци и додатне информације доступни су на захтев)</w:t>
      </w:r>
    </w:p>
  </w:footnote>
  <w:footnote w:id="76">
    <w:p w14:paraId="51BCAFB3" w14:textId="77777777" w:rsidR="00BD7DDA" w:rsidRPr="00AC3BDF" w:rsidRDefault="00BD7DDA"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Републички завод за статистику, Попис становништва 2011. у Републици Србији – Бескућници</w:t>
      </w:r>
    </w:p>
  </w:footnote>
  <w:footnote w:id="77">
    <w:p w14:paraId="4EAD4E67" w14:textId="77777777" w:rsidR="00BD7DDA" w:rsidRPr="00AC3BDF" w:rsidRDefault="00BD7DDA"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Мрежа психосоцијалних иновација (2022) Извештај о мапирању локалних услуга фокусираних на ментално здравље. Општине укључене у ово мапирање су биле Сјеница, Прибој, Ужице, Пландиште, Рума, Мионица, Лајковац, Шид, Пријепоље, Ариље, Крупањ, Косјерић, Лозница, Сремска Митровица и Пећинци. (Извештај је у припреми – подаци и додатне информације доступни су на захтев)</w:t>
      </w:r>
    </w:p>
  </w:footnote>
  <w:footnote w:id="78">
    <w:p w14:paraId="69A5A03B" w14:textId="77777777" w:rsidR="00BD7DDA" w:rsidRPr="00AC3BDF" w:rsidRDefault="00BD7DDA"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Републички завод за статистику, Попис становништва 2011. у Републици Србији – Бескућници</w:t>
      </w:r>
    </w:p>
  </w:footnote>
  <w:footnote w:id="79">
    <w:p w14:paraId="1200D6F8" w14:textId="77777777" w:rsidR="00BD7DDA" w:rsidRPr="00AC3BDF" w:rsidRDefault="00BD7DDA" w:rsidP="00E60859">
      <w:pPr>
        <w:pStyle w:val="FootnoteText"/>
        <w:ind w:left="-426"/>
        <w:rPr>
          <w:rStyle w:val="FootnoteReference"/>
          <w:rFonts w:asciiTheme="minorHAnsi" w:hAnsiTheme="minorHAnsi" w:cstheme="minorHAnsi"/>
        </w:rPr>
      </w:pPr>
      <w:r>
        <w:rPr>
          <w:rStyle w:val="FootnoteReference"/>
          <w:rFonts w:cstheme="minorHAnsi"/>
          <w:lang w:val="sr"/>
        </w:rPr>
        <w:footnoteRef/>
      </w:r>
      <w:r>
        <w:rPr>
          <w:rStyle w:val="FootnoteReference"/>
          <w:rFonts w:cstheme="minorHAnsi"/>
          <w:lang w:val="sr"/>
        </w:rPr>
        <w:t xml:space="preserve"> Службени гласник РС, број 84/2019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92C7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C230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02F8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ECF9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F896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F8A2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F698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7276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BAB9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D894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327B23C6"/>
    <w:lvl w:ilvl="0" w:tplc="ECA4DB48">
      <w:start w:val="1"/>
      <w:numFmt w:val="decimal"/>
      <w:lvlText w:val="%1."/>
      <w:lvlJc w:val="left"/>
    </w:lvl>
    <w:lvl w:ilvl="1" w:tplc="EEA281CE">
      <w:start w:val="1"/>
      <w:numFmt w:val="bullet"/>
      <w:lvlText w:val=""/>
      <w:lvlJc w:val="left"/>
    </w:lvl>
    <w:lvl w:ilvl="2" w:tplc="6114AEDC">
      <w:start w:val="1"/>
      <w:numFmt w:val="bullet"/>
      <w:lvlText w:val=""/>
      <w:lvlJc w:val="left"/>
    </w:lvl>
    <w:lvl w:ilvl="3" w:tplc="C358C062">
      <w:start w:val="1"/>
      <w:numFmt w:val="bullet"/>
      <w:lvlText w:val=""/>
      <w:lvlJc w:val="left"/>
    </w:lvl>
    <w:lvl w:ilvl="4" w:tplc="1BD8A102">
      <w:start w:val="1"/>
      <w:numFmt w:val="bullet"/>
      <w:lvlText w:val=""/>
      <w:lvlJc w:val="left"/>
    </w:lvl>
    <w:lvl w:ilvl="5" w:tplc="5E287874">
      <w:start w:val="1"/>
      <w:numFmt w:val="bullet"/>
      <w:lvlText w:val=""/>
      <w:lvlJc w:val="left"/>
    </w:lvl>
    <w:lvl w:ilvl="6" w:tplc="587CE650">
      <w:start w:val="1"/>
      <w:numFmt w:val="bullet"/>
      <w:lvlText w:val=""/>
      <w:lvlJc w:val="left"/>
    </w:lvl>
    <w:lvl w:ilvl="7" w:tplc="1EC002A8">
      <w:start w:val="1"/>
      <w:numFmt w:val="bullet"/>
      <w:lvlText w:val=""/>
      <w:lvlJc w:val="left"/>
    </w:lvl>
    <w:lvl w:ilvl="8" w:tplc="6444F8CE">
      <w:start w:val="1"/>
      <w:numFmt w:val="bullet"/>
      <w:lvlText w:val=""/>
      <w:lvlJc w:val="left"/>
    </w:lvl>
  </w:abstractNum>
  <w:abstractNum w:abstractNumId="11" w15:restartNumberingAfterBreak="0">
    <w:nsid w:val="2BEF30AF"/>
    <w:multiLevelType w:val="hybridMultilevel"/>
    <w:tmpl w:val="81EEE932"/>
    <w:lvl w:ilvl="0" w:tplc="CECAB414">
      <w:start w:val="1"/>
      <w:numFmt w:val="decimal"/>
      <w:lvlText w:val="%1."/>
      <w:lvlJc w:val="left"/>
      <w:pPr>
        <w:ind w:left="720" w:hanging="360"/>
      </w:pPr>
      <w:rPr>
        <w:b w:val="0"/>
        <w:bCs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4A463188"/>
    <w:multiLevelType w:val="hybridMultilevel"/>
    <w:tmpl w:val="EC30B57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15:restartNumberingAfterBreak="0">
    <w:nsid w:val="51E9300F"/>
    <w:multiLevelType w:val="hybridMultilevel"/>
    <w:tmpl w:val="19681474"/>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57680197"/>
    <w:multiLevelType w:val="hybridMultilevel"/>
    <w:tmpl w:val="52D6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706FF"/>
    <w:multiLevelType w:val="hybridMultilevel"/>
    <w:tmpl w:val="DFE29236"/>
    <w:lvl w:ilvl="0" w:tplc="B5CA7BD8">
      <w:start w:val="1"/>
      <w:numFmt w:val="decimal"/>
      <w:lvlText w:val="%1."/>
      <w:lvlJc w:val="left"/>
      <w:pPr>
        <w:ind w:left="720" w:hanging="360"/>
      </w:pPr>
      <w:rPr>
        <w:rFonts w:hint="default"/>
        <w:b w:val="0"/>
        <w:bCs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6AFE503A"/>
    <w:multiLevelType w:val="hybridMultilevel"/>
    <w:tmpl w:val="56A6A478"/>
    <w:lvl w:ilvl="0" w:tplc="201C34B0">
      <w:start w:val="1"/>
      <w:numFmt w:val="decimal"/>
      <w:lvlText w:val="%1."/>
      <w:lvlJc w:val="left"/>
      <w:pPr>
        <w:ind w:left="360" w:hanging="360"/>
      </w:pPr>
      <w:rPr>
        <w:vertAlign w:val="baseline"/>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7" w15:restartNumberingAfterBreak="0">
    <w:nsid w:val="70815CDC"/>
    <w:multiLevelType w:val="hybridMultilevel"/>
    <w:tmpl w:val="6D364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374065"/>
    <w:multiLevelType w:val="hybridMultilevel"/>
    <w:tmpl w:val="C3923364"/>
    <w:lvl w:ilvl="0" w:tplc="FA6A4E9A">
      <w:start w:val="1"/>
      <w:numFmt w:val="decimal"/>
      <w:lvlText w:val="%1."/>
      <w:lvlJc w:val="left"/>
      <w:pPr>
        <w:ind w:left="720" w:hanging="360"/>
      </w:pPr>
      <w:rPr>
        <w:rFonts w:asciiTheme="minorHAnsi" w:hAnsiTheme="minorHAnsi" w:cstheme="minorHAnsi" w:hint="default"/>
        <w:b w:val="0"/>
        <w:bCs w:val="0"/>
        <w:color w:val="auto"/>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6"/>
  </w:num>
  <w:num w:numId="2">
    <w:abstractNumId w:val="14"/>
  </w:num>
  <w:num w:numId="3">
    <w:abstractNumId w:val="10"/>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2"/>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M1NTU0MDUzMDEzsDBT0lEKTi0uzszPAykwrgUAIzqF/ywAAAA="/>
  </w:docVars>
  <w:rsids>
    <w:rsidRoot w:val="00B27CAF"/>
    <w:rsid w:val="00021A69"/>
    <w:rsid w:val="000252EF"/>
    <w:rsid w:val="000256C9"/>
    <w:rsid w:val="00087EB3"/>
    <w:rsid w:val="000C1465"/>
    <w:rsid w:val="000C5CEE"/>
    <w:rsid w:val="000E4ABB"/>
    <w:rsid w:val="000F3CF2"/>
    <w:rsid w:val="000F65F0"/>
    <w:rsid w:val="0011058D"/>
    <w:rsid w:val="0018206E"/>
    <w:rsid w:val="001826AB"/>
    <w:rsid w:val="00192233"/>
    <w:rsid w:val="00192235"/>
    <w:rsid w:val="001A1A85"/>
    <w:rsid w:val="001A4A1D"/>
    <w:rsid w:val="001D4E68"/>
    <w:rsid w:val="001E3F79"/>
    <w:rsid w:val="001E620F"/>
    <w:rsid w:val="002051D4"/>
    <w:rsid w:val="00215953"/>
    <w:rsid w:val="00231188"/>
    <w:rsid w:val="002365E0"/>
    <w:rsid w:val="002572F6"/>
    <w:rsid w:val="002734FB"/>
    <w:rsid w:val="00273887"/>
    <w:rsid w:val="00273FC6"/>
    <w:rsid w:val="002769DB"/>
    <w:rsid w:val="00282C26"/>
    <w:rsid w:val="002836FB"/>
    <w:rsid w:val="002C2B9F"/>
    <w:rsid w:val="002F4CAC"/>
    <w:rsid w:val="002F789C"/>
    <w:rsid w:val="003100BE"/>
    <w:rsid w:val="003122B8"/>
    <w:rsid w:val="00324AEE"/>
    <w:rsid w:val="00327E93"/>
    <w:rsid w:val="003365D1"/>
    <w:rsid w:val="00343A6D"/>
    <w:rsid w:val="0035376A"/>
    <w:rsid w:val="00356FB7"/>
    <w:rsid w:val="0036495E"/>
    <w:rsid w:val="003736B5"/>
    <w:rsid w:val="00375E34"/>
    <w:rsid w:val="00384FB0"/>
    <w:rsid w:val="003A6D97"/>
    <w:rsid w:val="003B70E5"/>
    <w:rsid w:val="003C49D8"/>
    <w:rsid w:val="003D4A1D"/>
    <w:rsid w:val="003E3B31"/>
    <w:rsid w:val="003E475D"/>
    <w:rsid w:val="00442ABD"/>
    <w:rsid w:val="004471CB"/>
    <w:rsid w:val="004507B4"/>
    <w:rsid w:val="00454A2D"/>
    <w:rsid w:val="0046250A"/>
    <w:rsid w:val="00466497"/>
    <w:rsid w:val="004869B3"/>
    <w:rsid w:val="004943D1"/>
    <w:rsid w:val="004A0D50"/>
    <w:rsid w:val="004A56F0"/>
    <w:rsid w:val="004C11EA"/>
    <w:rsid w:val="004C58DC"/>
    <w:rsid w:val="004E08AE"/>
    <w:rsid w:val="004F4DFA"/>
    <w:rsid w:val="004F5CCB"/>
    <w:rsid w:val="0050065B"/>
    <w:rsid w:val="00504CD0"/>
    <w:rsid w:val="005134AC"/>
    <w:rsid w:val="005136D2"/>
    <w:rsid w:val="00523C39"/>
    <w:rsid w:val="005375D1"/>
    <w:rsid w:val="0056450B"/>
    <w:rsid w:val="00570BA5"/>
    <w:rsid w:val="005719B8"/>
    <w:rsid w:val="005727CD"/>
    <w:rsid w:val="00575744"/>
    <w:rsid w:val="005C4278"/>
    <w:rsid w:val="005E2F23"/>
    <w:rsid w:val="005E312A"/>
    <w:rsid w:val="005E4110"/>
    <w:rsid w:val="005E55DB"/>
    <w:rsid w:val="005F0FC1"/>
    <w:rsid w:val="005F6192"/>
    <w:rsid w:val="005F6D22"/>
    <w:rsid w:val="00601A1C"/>
    <w:rsid w:val="00601A8B"/>
    <w:rsid w:val="006128F7"/>
    <w:rsid w:val="00623E84"/>
    <w:rsid w:val="00626257"/>
    <w:rsid w:val="0063456C"/>
    <w:rsid w:val="00651232"/>
    <w:rsid w:val="00654663"/>
    <w:rsid w:val="0069213C"/>
    <w:rsid w:val="006A0D86"/>
    <w:rsid w:val="006C6781"/>
    <w:rsid w:val="006E5CA0"/>
    <w:rsid w:val="0073032D"/>
    <w:rsid w:val="00742587"/>
    <w:rsid w:val="00774A07"/>
    <w:rsid w:val="007A132D"/>
    <w:rsid w:val="007A5833"/>
    <w:rsid w:val="007B38B0"/>
    <w:rsid w:val="007C066F"/>
    <w:rsid w:val="007C0BA4"/>
    <w:rsid w:val="007C35AA"/>
    <w:rsid w:val="007D685B"/>
    <w:rsid w:val="007E0F48"/>
    <w:rsid w:val="007E2F02"/>
    <w:rsid w:val="007F14F7"/>
    <w:rsid w:val="007F2696"/>
    <w:rsid w:val="007F5B3D"/>
    <w:rsid w:val="00804E2C"/>
    <w:rsid w:val="008129D5"/>
    <w:rsid w:val="0084011F"/>
    <w:rsid w:val="00862E6F"/>
    <w:rsid w:val="00864338"/>
    <w:rsid w:val="0087650E"/>
    <w:rsid w:val="008810F6"/>
    <w:rsid w:val="00885650"/>
    <w:rsid w:val="008873B8"/>
    <w:rsid w:val="008B075B"/>
    <w:rsid w:val="008B1005"/>
    <w:rsid w:val="008C528E"/>
    <w:rsid w:val="008E297F"/>
    <w:rsid w:val="008E6980"/>
    <w:rsid w:val="00902ED0"/>
    <w:rsid w:val="0094045C"/>
    <w:rsid w:val="009721AD"/>
    <w:rsid w:val="009736F9"/>
    <w:rsid w:val="009B5D8B"/>
    <w:rsid w:val="009D542C"/>
    <w:rsid w:val="009D6DC5"/>
    <w:rsid w:val="009F4358"/>
    <w:rsid w:val="00A166DB"/>
    <w:rsid w:val="00A2154D"/>
    <w:rsid w:val="00A22912"/>
    <w:rsid w:val="00A42BDF"/>
    <w:rsid w:val="00A44448"/>
    <w:rsid w:val="00A61AFB"/>
    <w:rsid w:val="00A621B4"/>
    <w:rsid w:val="00A87E27"/>
    <w:rsid w:val="00AA2EC2"/>
    <w:rsid w:val="00AC3BDF"/>
    <w:rsid w:val="00AD3122"/>
    <w:rsid w:val="00AE1308"/>
    <w:rsid w:val="00AF02F5"/>
    <w:rsid w:val="00AF2CFB"/>
    <w:rsid w:val="00AF7173"/>
    <w:rsid w:val="00B03289"/>
    <w:rsid w:val="00B05C0A"/>
    <w:rsid w:val="00B11889"/>
    <w:rsid w:val="00B1253B"/>
    <w:rsid w:val="00B21CD7"/>
    <w:rsid w:val="00B22696"/>
    <w:rsid w:val="00B27CAF"/>
    <w:rsid w:val="00B32C3B"/>
    <w:rsid w:val="00B401BF"/>
    <w:rsid w:val="00B708F8"/>
    <w:rsid w:val="00B825CF"/>
    <w:rsid w:val="00B84F51"/>
    <w:rsid w:val="00B90939"/>
    <w:rsid w:val="00B9503E"/>
    <w:rsid w:val="00B963F7"/>
    <w:rsid w:val="00BA541B"/>
    <w:rsid w:val="00BB59E3"/>
    <w:rsid w:val="00BB5B13"/>
    <w:rsid w:val="00BC2E0C"/>
    <w:rsid w:val="00BC42BC"/>
    <w:rsid w:val="00BD500A"/>
    <w:rsid w:val="00BD7DDA"/>
    <w:rsid w:val="00BE57D6"/>
    <w:rsid w:val="00C22427"/>
    <w:rsid w:val="00C232B9"/>
    <w:rsid w:val="00C40BB2"/>
    <w:rsid w:val="00C44DF7"/>
    <w:rsid w:val="00C479D3"/>
    <w:rsid w:val="00C545C8"/>
    <w:rsid w:val="00C76F88"/>
    <w:rsid w:val="00C93012"/>
    <w:rsid w:val="00CB197B"/>
    <w:rsid w:val="00CC093B"/>
    <w:rsid w:val="00CC2D24"/>
    <w:rsid w:val="00CD042C"/>
    <w:rsid w:val="00CD2860"/>
    <w:rsid w:val="00CD6592"/>
    <w:rsid w:val="00CF1C0B"/>
    <w:rsid w:val="00CF257B"/>
    <w:rsid w:val="00CF3F2C"/>
    <w:rsid w:val="00D067B4"/>
    <w:rsid w:val="00D12406"/>
    <w:rsid w:val="00D217A0"/>
    <w:rsid w:val="00D22503"/>
    <w:rsid w:val="00D22804"/>
    <w:rsid w:val="00D34061"/>
    <w:rsid w:val="00D41CCA"/>
    <w:rsid w:val="00D50776"/>
    <w:rsid w:val="00D7678F"/>
    <w:rsid w:val="00D8710A"/>
    <w:rsid w:val="00DA31CA"/>
    <w:rsid w:val="00DA55FE"/>
    <w:rsid w:val="00DC4BDE"/>
    <w:rsid w:val="00DF0A91"/>
    <w:rsid w:val="00DF6064"/>
    <w:rsid w:val="00E10253"/>
    <w:rsid w:val="00E200F2"/>
    <w:rsid w:val="00E21D3D"/>
    <w:rsid w:val="00E43106"/>
    <w:rsid w:val="00E507C0"/>
    <w:rsid w:val="00E50F43"/>
    <w:rsid w:val="00E60859"/>
    <w:rsid w:val="00EB643B"/>
    <w:rsid w:val="00EE0E33"/>
    <w:rsid w:val="00EE14B3"/>
    <w:rsid w:val="00F07ED0"/>
    <w:rsid w:val="00F25F6B"/>
    <w:rsid w:val="00F417AF"/>
    <w:rsid w:val="00F41825"/>
    <w:rsid w:val="00F44901"/>
    <w:rsid w:val="00F71970"/>
    <w:rsid w:val="00F75FC8"/>
    <w:rsid w:val="00F82FB3"/>
    <w:rsid w:val="00FA2CB9"/>
    <w:rsid w:val="00FC5B8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D161"/>
  <w15:docId w15:val="{4D50AA3B-0C86-46BF-8476-E0830095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CAF"/>
    <w:rPr>
      <w:rFonts w:ascii="Calibri" w:eastAsia="Calibri" w:hAnsi="Calibri" w:cs="Calibri"/>
      <w:lang w:eastAsia="sr-Latn-RS"/>
    </w:rPr>
  </w:style>
  <w:style w:type="paragraph" w:styleId="Heading1">
    <w:name w:val="heading 1"/>
    <w:basedOn w:val="Normal"/>
    <w:next w:val="Normal"/>
    <w:link w:val="Heading1Char"/>
    <w:uiPriority w:val="9"/>
    <w:qFormat/>
    <w:rsid w:val="00AD312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AD312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AD312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paragraph" w:styleId="Heading4">
    <w:name w:val="heading 4"/>
    <w:basedOn w:val="Normal"/>
    <w:next w:val="Normal"/>
    <w:link w:val="Heading4Char"/>
    <w:uiPriority w:val="9"/>
    <w:unhideWhenUsed/>
    <w:qFormat/>
    <w:rsid w:val="00AD3122"/>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en-US"/>
    </w:rPr>
  </w:style>
  <w:style w:type="paragraph" w:styleId="Heading5">
    <w:name w:val="heading 5"/>
    <w:basedOn w:val="Normal"/>
    <w:next w:val="Normal"/>
    <w:link w:val="Heading5Char"/>
    <w:uiPriority w:val="9"/>
    <w:unhideWhenUsed/>
    <w:qFormat/>
    <w:rsid w:val="00AD3122"/>
    <w:pPr>
      <w:keepNext/>
      <w:keepLines/>
      <w:spacing w:before="40" w:after="0" w:line="240" w:lineRule="auto"/>
      <w:outlineLvl w:val="4"/>
    </w:pPr>
    <w:rPr>
      <w:rFonts w:asciiTheme="majorHAnsi" w:eastAsiaTheme="majorEastAsia" w:hAnsiTheme="majorHAnsi" w:cstheme="majorBidi"/>
      <w:color w:val="2F5496" w:themeColor="accent1" w:themeShade="BF"/>
      <w:sz w:val="20"/>
      <w:szCs w:val="20"/>
      <w:lang w:eastAsia="en-US"/>
    </w:rPr>
  </w:style>
  <w:style w:type="paragraph" w:styleId="Heading6">
    <w:name w:val="heading 6"/>
    <w:basedOn w:val="Normal"/>
    <w:next w:val="Normal"/>
    <w:link w:val="Heading6Char"/>
    <w:uiPriority w:val="9"/>
    <w:semiHidden/>
    <w:unhideWhenUsed/>
    <w:qFormat/>
    <w:rsid w:val="00AD3122"/>
    <w:pPr>
      <w:keepNext/>
      <w:keepLines/>
      <w:spacing w:before="40" w:after="0" w:line="240" w:lineRule="auto"/>
      <w:outlineLvl w:val="5"/>
    </w:pPr>
    <w:rPr>
      <w:rFonts w:asciiTheme="majorHAnsi" w:eastAsiaTheme="majorEastAsia" w:hAnsiTheme="majorHAnsi" w:cstheme="majorBidi"/>
      <w:color w:val="1F3763" w:themeColor="accent1" w:themeShade="7F"/>
      <w:sz w:val="20"/>
      <w:szCs w:val="20"/>
      <w:lang w:eastAsia="en-US"/>
    </w:rPr>
  </w:style>
  <w:style w:type="paragraph" w:styleId="Heading7">
    <w:name w:val="heading 7"/>
    <w:basedOn w:val="Normal"/>
    <w:next w:val="Normal"/>
    <w:link w:val="Heading7Char"/>
    <w:uiPriority w:val="9"/>
    <w:semiHidden/>
    <w:unhideWhenUsed/>
    <w:qFormat/>
    <w:rsid w:val="00AD3122"/>
    <w:pPr>
      <w:keepNext/>
      <w:keepLines/>
      <w:spacing w:before="40" w:after="0" w:line="240" w:lineRule="auto"/>
      <w:outlineLvl w:val="6"/>
    </w:pPr>
    <w:rPr>
      <w:rFonts w:asciiTheme="majorHAnsi" w:eastAsiaTheme="majorEastAsia" w:hAnsiTheme="majorHAnsi" w:cstheme="majorBidi"/>
      <w:i/>
      <w:iCs/>
      <w:color w:val="1F3763" w:themeColor="accent1" w:themeShade="7F"/>
      <w:sz w:val="20"/>
      <w:szCs w:val="20"/>
      <w:lang w:eastAsia="en-US"/>
    </w:rPr>
  </w:style>
  <w:style w:type="paragraph" w:styleId="Heading8">
    <w:name w:val="heading 8"/>
    <w:basedOn w:val="Normal"/>
    <w:next w:val="Normal"/>
    <w:link w:val="Heading8Char"/>
    <w:uiPriority w:val="9"/>
    <w:semiHidden/>
    <w:unhideWhenUsed/>
    <w:qFormat/>
    <w:rsid w:val="00AD3122"/>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AD312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callout,Fago Fußnotenzeichen,Footnote Refernece,Footnote Reference Number,Fußnotenzeichen_Raxen,BVI fnr,4_G Char,callout Char,Fago Fußnotenzeichen Char,Footnote Refernece Char,Footnote Reference Number Char1,BVI fnr Char1,10 pt"/>
    <w:basedOn w:val="DefaultParagraphFont"/>
    <w:link w:val="FootnoteReferenceAltR"/>
    <w:uiPriority w:val="99"/>
    <w:unhideWhenUsed/>
    <w:qFormat/>
    <w:rsid w:val="00B27CAF"/>
    <w:rPr>
      <w:vertAlign w:val="superscript"/>
    </w:rPr>
  </w:style>
  <w:style w:type="paragraph" w:customStyle="1" w:styleId="FootnoteReferenceAltR">
    <w:name w:val="Footnote Reference (Alt+R)"/>
    <w:aliases w:val="Fn Ref,Footnotes refss,ftref,16 Point,Superscript 6 Point,nota pié di pagina,Times 10 Point,Ref"/>
    <w:basedOn w:val="Normal"/>
    <w:link w:val="FootnoteReference"/>
    <w:uiPriority w:val="99"/>
    <w:rsid w:val="00B27CAF"/>
    <w:pPr>
      <w:spacing w:line="240" w:lineRule="exact"/>
    </w:pPr>
    <w:rPr>
      <w:rFonts w:asciiTheme="minorHAnsi" w:eastAsiaTheme="minorHAnsi" w:hAnsiTheme="minorHAnsi" w:cstheme="minorBidi"/>
      <w:vertAlign w:val="superscript"/>
      <w:lang w:eastAsia="en-US"/>
    </w:rPr>
  </w:style>
  <w:style w:type="paragraph" w:styleId="NoSpacing">
    <w:name w:val="No Spacing"/>
    <w:uiPriority w:val="1"/>
    <w:qFormat/>
    <w:rsid w:val="00B27CAF"/>
    <w:pPr>
      <w:spacing w:after="0" w:line="240" w:lineRule="auto"/>
    </w:pPr>
    <w:rPr>
      <w:rFonts w:ascii="Calibri" w:eastAsia="Calibri" w:hAnsi="Calibri" w:cs="Calibri"/>
      <w:lang w:eastAsia="sr-Latn-RS"/>
    </w:rPr>
  </w:style>
  <w:style w:type="paragraph" w:styleId="NormalWeb">
    <w:name w:val="Normal (Web)"/>
    <w:basedOn w:val="Normal"/>
    <w:uiPriority w:val="99"/>
    <w:unhideWhenUsed/>
    <w:rsid w:val="00D12406"/>
    <w:pPr>
      <w:spacing w:before="100" w:beforeAutospacing="1" w:after="100" w:afterAutospacing="1" w:line="240" w:lineRule="auto"/>
    </w:pPr>
    <w:rPr>
      <w:rFonts w:ascii="Times New Roman" w:eastAsia="Times New Roman" w:hAnsi="Times New Roman" w:cs="Times New Roman"/>
      <w:sz w:val="24"/>
      <w:szCs w:val="24"/>
      <w:lang w:val="sr-Latn-RS"/>
    </w:rPr>
  </w:style>
  <w:style w:type="paragraph" w:styleId="FootnoteText">
    <w:name w:val="footnote text"/>
    <w:aliases w:val="Char2,Char2 Char Char Char Char,Char2 Char Char,Char2 Char Char Char,Footnote Text Char Char,Char,Footnote Text Char4,Footnote Text Char1 Char Char,Footnote Text Char Char Char Char,Footnote,Tex Char,footnotes,Footnote Text Char2 Char,FA"/>
    <w:basedOn w:val="Normal"/>
    <w:link w:val="FootnoteTextChar"/>
    <w:uiPriority w:val="99"/>
    <w:unhideWhenUsed/>
    <w:qFormat/>
    <w:rsid w:val="00D12406"/>
    <w:pPr>
      <w:spacing w:after="0" w:line="240" w:lineRule="auto"/>
    </w:pPr>
    <w:rPr>
      <w:sz w:val="20"/>
      <w:szCs w:val="20"/>
    </w:rPr>
  </w:style>
  <w:style w:type="character" w:customStyle="1" w:styleId="FootnoteTextChar">
    <w:name w:val="Footnote Text Char"/>
    <w:aliases w:val="Char2 Char,Char2 Char Char Char Char Char,Char2 Char Char Char1,Char2 Char Char Char Char1,Footnote Text Char Char Char,Char Char,Footnote Text Char4 Char,Footnote Text Char1 Char Char Char,Footnote Text Char Char Char Char Char"/>
    <w:basedOn w:val="DefaultParagraphFont"/>
    <w:link w:val="FootnoteText"/>
    <w:uiPriority w:val="99"/>
    <w:rsid w:val="00D12406"/>
    <w:rPr>
      <w:rFonts w:ascii="Calibri" w:eastAsia="Calibri" w:hAnsi="Calibri" w:cs="Calibri"/>
      <w:sz w:val="20"/>
      <w:szCs w:val="20"/>
      <w:lang w:eastAsia="sr-Latn-RS"/>
    </w:rPr>
  </w:style>
  <w:style w:type="character" w:styleId="Hyperlink">
    <w:name w:val="Hyperlink"/>
    <w:basedOn w:val="DefaultParagraphFont"/>
    <w:uiPriority w:val="99"/>
    <w:unhideWhenUsed/>
    <w:rsid w:val="00D12406"/>
    <w:rPr>
      <w:color w:val="0000FF"/>
      <w:u w:val="single"/>
    </w:rPr>
  </w:style>
  <w:style w:type="paragraph" w:styleId="Header">
    <w:name w:val="header"/>
    <w:basedOn w:val="Normal"/>
    <w:link w:val="HeaderChar"/>
    <w:uiPriority w:val="99"/>
    <w:unhideWhenUsed/>
    <w:rsid w:val="007C0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66F"/>
    <w:rPr>
      <w:rFonts w:ascii="Calibri" w:eastAsia="Calibri" w:hAnsi="Calibri" w:cs="Calibri"/>
      <w:lang w:eastAsia="sr-Latn-RS"/>
    </w:rPr>
  </w:style>
  <w:style w:type="paragraph" w:styleId="Footer">
    <w:name w:val="footer"/>
    <w:basedOn w:val="Normal"/>
    <w:link w:val="FooterChar"/>
    <w:uiPriority w:val="99"/>
    <w:unhideWhenUsed/>
    <w:rsid w:val="007C0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66F"/>
    <w:rPr>
      <w:rFonts w:ascii="Calibri" w:eastAsia="Calibri" w:hAnsi="Calibri" w:cs="Calibri"/>
      <w:lang w:eastAsia="sr-Latn-RS"/>
    </w:rPr>
  </w:style>
  <w:style w:type="character" w:customStyle="1" w:styleId="Heading1Char">
    <w:name w:val="Heading 1 Char"/>
    <w:basedOn w:val="DefaultParagraphFont"/>
    <w:link w:val="Heading1"/>
    <w:uiPriority w:val="9"/>
    <w:rsid w:val="00AD31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31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312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D312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rsid w:val="00AD312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AD3122"/>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uiPriority w:val="9"/>
    <w:semiHidden/>
    <w:rsid w:val="00AD3122"/>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AD31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312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D3122"/>
    <w:pPr>
      <w:spacing w:after="200" w:line="276" w:lineRule="auto"/>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AD3122"/>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D3122"/>
    <w:rPr>
      <w:rFonts w:ascii="Tahoma" w:hAnsi="Tahoma" w:cs="Tahoma"/>
      <w:sz w:val="16"/>
      <w:szCs w:val="16"/>
    </w:rPr>
  </w:style>
  <w:style w:type="character" w:styleId="SubtleEmphasis">
    <w:name w:val="Subtle Emphasis"/>
    <w:basedOn w:val="DefaultParagraphFont"/>
    <w:uiPriority w:val="19"/>
    <w:qFormat/>
    <w:rsid w:val="00AD3122"/>
    <w:rPr>
      <w:i/>
      <w:iCs/>
      <w:color w:val="808080" w:themeColor="text1" w:themeTint="7F"/>
    </w:rPr>
  </w:style>
  <w:style w:type="paragraph" w:styleId="Bibliography">
    <w:name w:val="Bibliography"/>
    <w:basedOn w:val="Normal"/>
    <w:next w:val="Normal"/>
    <w:uiPriority w:val="37"/>
    <w:semiHidden/>
    <w:unhideWhenUsed/>
    <w:rsid w:val="00AD3122"/>
    <w:pPr>
      <w:spacing w:after="0" w:line="240" w:lineRule="auto"/>
    </w:pPr>
    <w:rPr>
      <w:rFonts w:cs="Arial"/>
      <w:sz w:val="20"/>
      <w:szCs w:val="20"/>
      <w:lang w:eastAsia="en-US"/>
    </w:rPr>
  </w:style>
  <w:style w:type="paragraph" w:styleId="BlockText">
    <w:name w:val="Block Text"/>
    <w:basedOn w:val="Normal"/>
    <w:uiPriority w:val="99"/>
    <w:semiHidden/>
    <w:unhideWhenUsed/>
    <w:rsid w:val="00AD3122"/>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0" w:line="240" w:lineRule="auto"/>
      <w:ind w:left="1152" w:right="1152"/>
    </w:pPr>
    <w:rPr>
      <w:rFonts w:asciiTheme="minorHAnsi" w:eastAsiaTheme="minorEastAsia" w:hAnsiTheme="minorHAnsi" w:cstheme="minorBidi"/>
      <w:i/>
      <w:iCs/>
      <w:color w:val="4472C4" w:themeColor="accent1"/>
      <w:sz w:val="20"/>
      <w:szCs w:val="20"/>
      <w:lang w:eastAsia="en-US"/>
    </w:rPr>
  </w:style>
  <w:style w:type="paragraph" w:styleId="BodyText">
    <w:name w:val="Body Text"/>
    <w:basedOn w:val="Normal"/>
    <w:link w:val="BodyTextChar"/>
    <w:uiPriority w:val="99"/>
    <w:semiHidden/>
    <w:unhideWhenUsed/>
    <w:rsid w:val="00AD3122"/>
    <w:pPr>
      <w:spacing w:after="120" w:line="240" w:lineRule="auto"/>
    </w:pPr>
    <w:rPr>
      <w:rFonts w:cs="Arial"/>
      <w:sz w:val="20"/>
      <w:szCs w:val="20"/>
      <w:lang w:eastAsia="en-US"/>
    </w:rPr>
  </w:style>
  <w:style w:type="character" w:customStyle="1" w:styleId="BodyTextChar">
    <w:name w:val="Body Text Char"/>
    <w:basedOn w:val="DefaultParagraphFont"/>
    <w:link w:val="BodyText"/>
    <w:uiPriority w:val="99"/>
    <w:semiHidden/>
    <w:rsid w:val="00AD3122"/>
    <w:rPr>
      <w:rFonts w:ascii="Calibri" w:eastAsia="Calibri" w:hAnsi="Calibri" w:cs="Arial"/>
      <w:sz w:val="20"/>
      <w:szCs w:val="20"/>
    </w:rPr>
  </w:style>
  <w:style w:type="paragraph" w:styleId="BodyText2">
    <w:name w:val="Body Text 2"/>
    <w:basedOn w:val="Normal"/>
    <w:link w:val="BodyText2Char"/>
    <w:uiPriority w:val="99"/>
    <w:semiHidden/>
    <w:unhideWhenUsed/>
    <w:rsid w:val="00AD3122"/>
    <w:pPr>
      <w:spacing w:after="120" w:line="480" w:lineRule="auto"/>
    </w:pPr>
    <w:rPr>
      <w:rFonts w:cs="Arial"/>
      <w:sz w:val="20"/>
      <w:szCs w:val="20"/>
      <w:lang w:eastAsia="en-US"/>
    </w:rPr>
  </w:style>
  <w:style w:type="character" w:customStyle="1" w:styleId="BodyText2Char">
    <w:name w:val="Body Text 2 Char"/>
    <w:basedOn w:val="DefaultParagraphFont"/>
    <w:link w:val="BodyText2"/>
    <w:uiPriority w:val="99"/>
    <w:semiHidden/>
    <w:rsid w:val="00AD3122"/>
    <w:rPr>
      <w:rFonts w:ascii="Calibri" w:eastAsia="Calibri" w:hAnsi="Calibri" w:cs="Arial"/>
      <w:sz w:val="20"/>
      <w:szCs w:val="20"/>
    </w:rPr>
  </w:style>
  <w:style w:type="paragraph" w:styleId="BodyText3">
    <w:name w:val="Body Text 3"/>
    <w:basedOn w:val="Normal"/>
    <w:link w:val="BodyText3Char"/>
    <w:uiPriority w:val="99"/>
    <w:semiHidden/>
    <w:unhideWhenUsed/>
    <w:rsid w:val="00AD3122"/>
    <w:pPr>
      <w:spacing w:after="120" w:line="240" w:lineRule="auto"/>
    </w:pPr>
    <w:rPr>
      <w:rFonts w:cs="Arial"/>
      <w:sz w:val="16"/>
      <w:szCs w:val="16"/>
      <w:lang w:eastAsia="en-US"/>
    </w:rPr>
  </w:style>
  <w:style w:type="character" w:customStyle="1" w:styleId="BodyText3Char">
    <w:name w:val="Body Text 3 Char"/>
    <w:basedOn w:val="DefaultParagraphFont"/>
    <w:link w:val="BodyText3"/>
    <w:uiPriority w:val="99"/>
    <w:semiHidden/>
    <w:rsid w:val="00AD3122"/>
    <w:rPr>
      <w:rFonts w:ascii="Calibri" w:eastAsia="Calibri" w:hAnsi="Calibri" w:cs="Arial"/>
      <w:sz w:val="16"/>
      <w:szCs w:val="16"/>
    </w:rPr>
  </w:style>
  <w:style w:type="paragraph" w:styleId="BodyTextFirstIndent">
    <w:name w:val="Body Text First Indent"/>
    <w:basedOn w:val="BodyText"/>
    <w:link w:val="BodyTextFirstIndentChar"/>
    <w:uiPriority w:val="99"/>
    <w:semiHidden/>
    <w:unhideWhenUsed/>
    <w:rsid w:val="00AD3122"/>
    <w:pPr>
      <w:spacing w:after="0"/>
      <w:ind w:firstLine="360"/>
    </w:pPr>
  </w:style>
  <w:style w:type="character" w:customStyle="1" w:styleId="BodyTextFirstIndentChar">
    <w:name w:val="Body Text First Indent Char"/>
    <w:basedOn w:val="BodyTextChar"/>
    <w:link w:val="BodyTextFirstIndent"/>
    <w:uiPriority w:val="99"/>
    <w:semiHidden/>
    <w:rsid w:val="00AD3122"/>
    <w:rPr>
      <w:rFonts w:ascii="Calibri" w:eastAsia="Calibri" w:hAnsi="Calibri" w:cs="Arial"/>
      <w:sz w:val="20"/>
      <w:szCs w:val="20"/>
    </w:rPr>
  </w:style>
  <w:style w:type="paragraph" w:styleId="BodyTextIndent">
    <w:name w:val="Body Text Indent"/>
    <w:basedOn w:val="Normal"/>
    <w:link w:val="BodyTextIndentChar"/>
    <w:uiPriority w:val="99"/>
    <w:semiHidden/>
    <w:unhideWhenUsed/>
    <w:rsid w:val="00AD3122"/>
    <w:pPr>
      <w:spacing w:after="120" w:line="240" w:lineRule="auto"/>
      <w:ind w:left="360"/>
    </w:pPr>
    <w:rPr>
      <w:rFonts w:cs="Arial"/>
      <w:sz w:val="20"/>
      <w:szCs w:val="20"/>
      <w:lang w:eastAsia="en-US"/>
    </w:rPr>
  </w:style>
  <w:style w:type="character" w:customStyle="1" w:styleId="BodyTextIndentChar">
    <w:name w:val="Body Text Indent Char"/>
    <w:basedOn w:val="DefaultParagraphFont"/>
    <w:link w:val="BodyTextIndent"/>
    <w:uiPriority w:val="99"/>
    <w:semiHidden/>
    <w:rsid w:val="00AD3122"/>
    <w:rPr>
      <w:rFonts w:ascii="Calibri" w:eastAsia="Calibri" w:hAnsi="Calibri" w:cs="Arial"/>
      <w:sz w:val="20"/>
      <w:szCs w:val="20"/>
    </w:rPr>
  </w:style>
  <w:style w:type="paragraph" w:styleId="BodyTextFirstIndent2">
    <w:name w:val="Body Text First Indent 2"/>
    <w:basedOn w:val="BodyTextIndent"/>
    <w:link w:val="BodyTextFirstIndent2Char"/>
    <w:uiPriority w:val="99"/>
    <w:semiHidden/>
    <w:unhideWhenUsed/>
    <w:rsid w:val="00AD3122"/>
    <w:pPr>
      <w:spacing w:after="0"/>
      <w:ind w:firstLine="360"/>
    </w:pPr>
  </w:style>
  <w:style w:type="character" w:customStyle="1" w:styleId="BodyTextFirstIndent2Char">
    <w:name w:val="Body Text First Indent 2 Char"/>
    <w:basedOn w:val="BodyTextIndentChar"/>
    <w:link w:val="BodyTextFirstIndent2"/>
    <w:uiPriority w:val="99"/>
    <w:semiHidden/>
    <w:rsid w:val="00AD3122"/>
    <w:rPr>
      <w:rFonts w:ascii="Calibri" w:eastAsia="Calibri" w:hAnsi="Calibri" w:cs="Arial"/>
      <w:sz w:val="20"/>
      <w:szCs w:val="20"/>
    </w:rPr>
  </w:style>
  <w:style w:type="paragraph" w:styleId="BodyTextIndent2">
    <w:name w:val="Body Text Indent 2"/>
    <w:basedOn w:val="Normal"/>
    <w:link w:val="BodyTextIndent2Char"/>
    <w:uiPriority w:val="99"/>
    <w:semiHidden/>
    <w:unhideWhenUsed/>
    <w:rsid w:val="00AD3122"/>
    <w:pPr>
      <w:spacing w:after="120" w:line="480" w:lineRule="auto"/>
      <w:ind w:left="360"/>
    </w:pPr>
    <w:rPr>
      <w:rFonts w:cs="Arial"/>
      <w:sz w:val="20"/>
      <w:szCs w:val="20"/>
      <w:lang w:eastAsia="en-US"/>
    </w:rPr>
  </w:style>
  <w:style w:type="character" w:customStyle="1" w:styleId="BodyTextIndent2Char">
    <w:name w:val="Body Text Indent 2 Char"/>
    <w:basedOn w:val="DefaultParagraphFont"/>
    <w:link w:val="BodyTextIndent2"/>
    <w:uiPriority w:val="99"/>
    <w:semiHidden/>
    <w:rsid w:val="00AD3122"/>
    <w:rPr>
      <w:rFonts w:ascii="Calibri" w:eastAsia="Calibri" w:hAnsi="Calibri" w:cs="Arial"/>
      <w:sz w:val="20"/>
      <w:szCs w:val="20"/>
    </w:rPr>
  </w:style>
  <w:style w:type="paragraph" w:styleId="BodyTextIndent3">
    <w:name w:val="Body Text Indent 3"/>
    <w:basedOn w:val="Normal"/>
    <w:link w:val="BodyTextIndent3Char"/>
    <w:uiPriority w:val="99"/>
    <w:semiHidden/>
    <w:unhideWhenUsed/>
    <w:rsid w:val="00AD3122"/>
    <w:pPr>
      <w:spacing w:after="120" w:line="240" w:lineRule="auto"/>
      <w:ind w:left="360"/>
    </w:pPr>
    <w:rPr>
      <w:rFonts w:cs="Arial"/>
      <w:sz w:val="16"/>
      <w:szCs w:val="16"/>
      <w:lang w:eastAsia="en-US"/>
    </w:rPr>
  </w:style>
  <w:style w:type="character" w:customStyle="1" w:styleId="BodyTextIndent3Char">
    <w:name w:val="Body Text Indent 3 Char"/>
    <w:basedOn w:val="DefaultParagraphFont"/>
    <w:link w:val="BodyTextIndent3"/>
    <w:uiPriority w:val="99"/>
    <w:semiHidden/>
    <w:rsid w:val="00AD3122"/>
    <w:rPr>
      <w:rFonts w:ascii="Calibri" w:eastAsia="Calibri" w:hAnsi="Calibri" w:cs="Arial"/>
      <w:sz w:val="16"/>
      <w:szCs w:val="16"/>
    </w:rPr>
  </w:style>
  <w:style w:type="paragraph" w:styleId="Caption">
    <w:name w:val="caption"/>
    <w:basedOn w:val="Normal"/>
    <w:next w:val="Normal"/>
    <w:uiPriority w:val="35"/>
    <w:semiHidden/>
    <w:unhideWhenUsed/>
    <w:qFormat/>
    <w:rsid w:val="00AD3122"/>
    <w:pPr>
      <w:spacing w:after="200" w:line="240" w:lineRule="auto"/>
    </w:pPr>
    <w:rPr>
      <w:rFonts w:cs="Arial"/>
      <w:i/>
      <w:iCs/>
      <w:color w:val="44546A" w:themeColor="text2"/>
      <w:sz w:val="18"/>
      <w:szCs w:val="18"/>
      <w:lang w:eastAsia="en-US"/>
    </w:rPr>
  </w:style>
  <w:style w:type="paragraph" w:styleId="Closing">
    <w:name w:val="Closing"/>
    <w:basedOn w:val="Normal"/>
    <w:link w:val="ClosingChar"/>
    <w:uiPriority w:val="99"/>
    <w:semiHidden/>
    <w:unhideWhenUsed/>
    <w:rsid w:val="00AD3122"/>
    <w:pPr>
      <w:spacing w:after="0" w:line="240" w:lineRule="auto"/>
      <w:ind w:left="4320"/>
    </w:pPr>
    <w:rPr>
      <w:rFonts w:cs="Arial"/>
      <w:sz w:val="20"/>
      <w:szCs w:val="20"/>
      <w:lang w:eastAsia="en-US"/>
    </w:rPr>
  </w:style>
  <w:style w:type="character" w:customStyle="1" w:styleId="ClosingChar">
    <w:name w:val="Closing Char"/>
    <w:basedOn w:val="DefaultParagraphFont"/>
    <w:link w:val="Closing"/>
    <w:uiPriority w:val="99"/>
    <w:semiHidden/>
    <w:rsid w:val="00AD3122"/>
    <w:rPr>
      <w:rFonts w:ascii="Calibri" w:eastAsia="Calibri" w:hAnsi="Calibri" w:cs="Arial"/>
      <w:sz w:val="20"/>
      <w:szCs w:val="20"/>
    </w:rPr>
  </w:style>
  <w:style w:type="paragraph" w:styleId="CommentText">
    <w:name w:val="annotation text"/>
    <w:basedOn w:val="Normal"/>
    <w:link w:val="CommentTextChar"/>
    <w:uiPriority w:val="99"/>
    <w:semiHidden/>
    <w:unhideWhenUsed/>
    <w:rsid w:val="00AD3122"/>
    <w:pPr>
      <w:spacing w:after="0" w:line="240" w:lineRule="auto"/>
    </w:pPr>
    <w:rPr>
      <w:rFonts w:cs="Arial"/>
      <w:sz w:val="20"/>
      <w:szCs w:val="20"/>
      <w:lang w:eastAsia="en-US"/>
    </w:rPr>
  </w:style>
  <w:style w:type="character" w:customStyle="1" w:styleId="CommentTextChar">
    <w:name w:val="Comment Text Char"/>
    <w:basedOn w:val="DefaultParagraphFont"/>
    <w:link w:val="CommentText"/>
    <w:uiPriority w:val="99"/>
    <w:semiHidden/>
    <w:rsid w:val="00AD3122"/>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D3122"/>
    <w:rPr>
      <w:b/>
      <w:bCs/>
    </w:rPr>
  </w:style>
  <w:style w:type="character" w:customStyle="1" w:styleId="CommentSubjectChar">
    <w:name w:val="Comment Subject Char"/>
    <w:basedOn w:val="CommentTextChar"/>
    <w:link w:val="CommentSubject"/>
    <w:uiPriority w:val="99"/>
    <w:semiHidden/>
    <w:rsid w:val="00AD3122"/>
    <w:rPr>
      <w:rFonts w:ascii="Calibri" w:eastAsia="Calibri" w:hAnsi="Calibri" w:cs="Arial"/>
      <w:b/>
      <w:bCs/>
      <w:sz w:val="20"/>
      <w:szCs w:val="20"/>
    </w:rPr>
  </w:style>
  <w:style w:type="paragraph" w:styleId="Date">
    <w:name w:val="Date"/>
    <w:basedOn w:val="Normal"/>
    <w:next w:val="Normal"/>
    <w:link w:val="DateChar"/>
    <w:uiPriority w:val="99"/>
    <w:semiHidden/>
    <w:unhideWhenUsed/>
    <w:rsid w:val="00AD3122"/>
    <w:pPr>
      <w:spacing w:after="0" w:line="240" w:lineRule="auto"/>
    </w:pPr>
    <w:rPr>
      <w:rFonts w:cs="Arial"/>
      <w:sz w:val="20"/>
      <w:szCs w:val="20"/>
      <w:lang w:eastAsia="en-US"/>
    </w:rPr>
  </w:style>
  <w:style w:type="character" w:customStyle="1" w:styleId="DateChar">
    <w:name w:val="Date Char"/>
    <w:basedOn w:val="DefaultParagraphFont"/>
    <w:link w:val="Date"/>
    <w:uiPriority w:val="99"/>
    <w:semiHidden/>
    <w:rsid w:val="00AD3122"/>
    <w:rPr>
      <w:rFonts w:ascii="Calibri" w:eastAsia="Calibri" w:hAnsi="Calibri" w:cs="Arial"/>
      <w:sz w:val="20"/>
      <w:szCs w:val="20"/>
    </w:rPr>
  </w:style>
  <w:style w:type="paragraph" w:styleId="DocumentMap">
    <w:name w:val="Document Map"/>
    <w:basedOn w:val="Normal"/>
    <w:link w:val="DocumentMapChar"/>
    <w:uiPriority w:val="99"/>
    <w:semiHidden/>
    <w:unhideWhenUsed/>
    <w:rsid w:val="00AD3122"/>
    <w:pPr>
      <w:spacing w:after="0" w:line="240" w:lineRule="auto"/>
    </w:pPr>
    <w:rPr>
      <w:rFonts w:ascii="Segoe UI" w:hAnsi="Segoe UI" w:cs="Segoe UI"/>
      <w:sz w:val="16"/>
      <w:szCs w:val="16"/>
      <w:lang w:eastAsia="en-US"/>
    </w:rPr>
  </w:style>
  <w:style w:type="character" w:customStyle="1" w:styleId="DocumentMapChar">
    <w:name w:val="Document Map Char"/>
    <w:basedOn w:val="DefaultParagraphFont"/>
    <w:link w:val="DocumentMap"/>
    <w:uiPriority w:val="99"/>
    <w:semiHidden/>
    <w:rsid w:val="00AD3122"/>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AD3122"/>
    <w:pPr>
      <w:spacing w:after="0" w:line="240" w:lineRule="auto"/>
    </w:pPr>
    <w:rPr>
      <w:rFonts w:cs="Arial"/>
      <w:sz w:val="20"/>
      <w:szCs w:val="20"/>
      <w:lang w:eastAsia="en-US"/>
    </w:rPr>
  </w:style>
  <w:style w:type="character" w:customStyle="1" w:styleId="E-mailSignatureChar">
    <w:name w:val="E-mail Signature Char"/>
    <w:basedOn w:val="DefaultParagraphFont"/>
    <w:link w:val="E-mailSignature"/>
    <w:uiPriority w:val="99"/>
    <w:semiHidden/>
    <w:rsid w:val="00AD3122"/>
    <w:rPr>
      <w:rFonts w:ascii="Calibri" w:eastAsia="Calibri" w:hAnsi="Calibri" w:cs="Arial"/>
      <w:sz w:val="20"/>
      <w:szCs w:val="20"/>
    </w:rPr>
  </w:style>
  <w:style w:type="paragraph" w:styleId="EndnoteText">
    <w:name w:val="endnote text"/>
    <w:basedOn w:val="Normal"/>
    <w:link w:val="EndnoteTextChar"/>
    <w:uiPriority w:val="99"/>
    <w:semiHidden/>
    <w:unhideWhenUsed/>
    <w:rsid w:val="00AD3122"/>
    <w:pPr>
      <w:spacing w:after="0" w:line="240" w:lineRule="auto"/>
    </w:pPr>
    <w:rPr>
      <w:rFonts w:cs="Arial"/>
      <w:sz w:val="20"/>
      <w:szCs w:val="20"/>
      <w:lang w:eastAsia="en-US"/>
    </w:rPr>
  </w:style>
  <w:style w:type="character" w:customStyle="1" w:styleId="EndnoteTextChar">
    <w:name w:val="Endnote Text Char"/>
    <w:basedOn w:val="DefaultParagraphFont"/>
    <w:link w:val="EndnoteText"/>
    <w:uiPriority w:val="99"/>
    <w:semiHidden/>
    <w:rsid w:val="00AD3122"/>
    <w:rPr>
      <w:rFonts w:ascii="Calibri" w:eastAsia="Calibri" w:hAnsi="Calibri" w:cs="Arial"/>
      <w:sz w:val="20"/>
      <w:szCs w:val="20"/>
    </w:rPr>
  </w:style>
  <w:style w:type="paragraph" w:styleId="EnvelopeAddress">
    <w:name w:val="envelope address"/>
    <w:basedOn w:val="Normal"/>
    <w:uiPriority w:val="99"/>
    <w:semiHidden/>
    <w:unhideWhenUsed/>
    <w:rsid w:val="00AD31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eastAsia="en-US"/>
    </w:rPr>
  </w:style>
  <w:style w:type="paragraph" w:styleId="EnvelopeReturn">
    <w:name w:val="envelope return"/>
    <w:basedOn w:val="Normal"/>
    <w:uiPriority w:val="99"/>
    <w:semiHidden/>
    <w:unhideWhenUsed/>
    <w:rsid w:val="00AD3122"/>
    <w:pPr>
      <w:spacing w:after="0" w:line="240" w:lineRule="auto"/>
    </w:pPr>
    <w:rPr>
      <w:rFonts w:asciiTheme="majorHAnsi" w:eastAsiaTheme="majorEastAsia" w:hAnsiTheme="majorHAnsi" w:cstheme="majorBidi"/>
      <w:sz w:val="20"/>
      <w:szCs w:val="20"/>
      <w:lang w:eastAsia="en-US"/>
    </w:rPr>
  </w:style>
  <w:style w:type="paragraph" w:styleId="HTMLAddress">
    <w:name w:val="HTML Address"/>
    <w:basedOn w:val="Normal"/>
    <w:link w:val="HTMLAddressChar"/>
    <w:uiPriority w:val="99"/>
    <w:semiHidden/>
    <w:unhideWhenUsed/>
    <w:rsid w:val="00AD3122"/>
    <w:pPr>
      <w:spacing w:after="0" w:line="240" w:lineRule="auto"/>
    </w:pPr>
    <w:rPr>
      <w:rFonts w:cs="Arial"/>
      <w:i/>
      <w:iCs/>
      <w:sz w:val="20"/>
      <w:szCs w:val="20"/>
      <w:lang w:eastAsia="en-US"/>
    </w:rPr>
  </w:style>
  <w:style w:type="character" w:customStyle="1" w:styleId="HTMLAddressChar">
    <w:name w:val="HTML Address Char"/>
    <w:basedOn w:val="DefaultParagraphFont"/>
    <w:link w:val="HTMLAddress"/>
    <w:uiPriority w:val="99"/>
    <w:semiHidden/>
    <w:rsid w:val="00AD3122"/>
    <w:rPr>
      <w:rFonts w:ascii="Calibri" w:eastAsia="Calibri" w:hAnsi="Calibri" w:cs="Arial"/>
      <w:i/>
      <w:iCs/>
      <w:sz w:val="20"/>
      <w:szCs w:val="20"/>
    </w:rPr>
  </w:style>
  <w:style w:type="paragraph" w:styleId="HTMLPreformatted">
    <w:name w:val="HTML Preformatted"/>
    <w:basedOn w:val="Normal"/>
    <w:link w:val="HTMLPreformattedChar"/>
    <w:uiPriority w:val="99"/>
    <w:semiHidden/>
    <w:unhideWhenUsed/>
    <w:rsid w:val="00AD3122"/>
    <w:pPr>
      <w:spacing w:after="0" w:line="240" w:lineRule="auto"/>
    </w:pPr>
    <w:rPr>
      <w:rFonts w:ascii="Consolas" w:hAnsi="Consolas" w:cs="Arial"/>
      <w:sz w:val="20"/>
      <w:szCs w:val="20"/>
      <w:lang w:eastAsia="en-US"/>
    </w:rPr>
  </w:style>
  <w:style w:type="character" w:customStyle="1" w:styleId="HTMLPreformattedChar">
    <w:name w:val="HTML Preformatted Char"/>
    <w:basedOn w:val="DefaultParagraphFont"/>
    <w:link w:val="HTMLPreformatted"/>
    <w:uiPriority w:val="99"/>
    <w:semiHidden/>
    <w:rsid w:val="00AD3122"/>
    <w:rPr>
      <w:rFonts w:ascii="Consolas" w:eastAsia="Calibri" w:hAnsi="Consolas" w:cs="Arial"/>
      <w:sz w:val="20"/>
      <w:szCs w:val="20"/>
    </w:rPr>
  </w:style>
  <w:style w:type="paragraph" w:styleId="Index1">
    <w:name w:val="index 1"/>
    <w:basedOn w:val="Normal"/>
    <w:next w:val="Normal"/>
    <w:autoRedefine/>
    <w:uiPriority w:val="99"/>
    <w:semiHidden/>
    <w:unhideWhenUsed/>
    <w:rsid w:val="00AD3122"/>
    <w:pPr>
      <w:spacing w:after="0" w:line="240" w:lineRule="auto"/>
      <w:ind w:left="200" w:hanging="200"/>
    </w:pPr>
    <w:rPr>
      <w:rFonts w:cs="Arial"/>
      <w:sz w:val="20"/>
      <w:szCs w:val="20"/>
      <w:lang w:eastAsia="en-US"/>
    </w:rPr>
  </w:style>
  <w:style w:type="paragraph" w:styleId="Index2">
    <w:name w:val="index 2"/>
    <w:basedOn w:val="Normal"/>
    <w:next w:val="Normal"/>
    <w:autoRedefine/>
    <w:uiPriority w:val="99"/>
    <w:semiHidden/>
    <w:unhideWhenUsed/>
    <w:rsid w:val="00AD3122"/>
    <w:pPr>
      <w:spacing w:after="0" w:line="240" w:lineRule="auto"/>
      <w:ind w:left="400" w:hanging="200"/>
    </w:pPr>
    <w:rPr>
      <w:rFonts w:cs="Arial"/>
      <w:sz w:val="20"/>
      <w:szCs w:val="20"/>
      <w:lang w:eastAsia="en-US"/>
    </w:rPr>
  </w:style>
  <w:style w:type="paragraph" w:styleId="Index3">
    <w:name w:val="index 3"/>
    <w:basedOn w:val="Normal"/>
    <w:next w:val="Normal"/>
    <w:autoRedefine/>
    <w:uiPriority w:val="99"/>
    <w:semiHidden/>
    <w:unhideWhenUsed/>
    <w:rsid w:val="00AD3122"/>
    <w:pPr>
      <w:spacing w:after="0" w:line="240" w:lineRule="auto"/>
      <w:ind w:left="600" w:hanging="200"/>
    </w:pPr>
    <w:rPr>
      <w:rFonts w:cs="Arial"/>
      <w:sz w:val="20"/>
      <w:szCs w:val="20"/>
      <w:lang w:eastAsia="en-US"/>
    </w:rPr>
  </w:style>
  <w:style w:type="paragraph" w:styleId="Index4">
    <w:name w:val="index 4"/>
    <w:basedOn w:val="Normal"/>
    <w:next w:val="Normal"/>
    <w:autoRedefine/>
    <w:uiPriority w:val="99"/>
    <w:semiHidden/>
    <w:unhideWhenUsed/>
    <w:rsid w:val="00AD3122"/>
    <w:pPr>
      <w:spacing w:after="0" w:line="240" w:lineRule="auto"/>
      <w:ind w:left="800" w:hanging="200"/>
    </w:pPr>
    <w:rPr>
      <w:rFonts w:cs="Arial"/>
      <w:sz w:val="20"/>
      <w:szCs w:val="20"/>
      <w:lang w:eastAsia="en-US"/>
    </w:rPr>
  </w:style>
  <w:style w:type="paragraph" w:styleId="Index5">
    <w:name w:val="index 5"/>
    <w:basedOn w:val="Normal"/>
    <w:next w:val="Normal"/>
    <w:autoRedefine/>
    <w:uiPriority w:val="99"/>
    <w:semiHidden/>
    <w:unhideWhenUsed/>
    <w:rsid w:val="00AD3122"/>
    <w:pPr>
      <w:spacing w:after="0" w:line="240" w:lineRule="auto"/>
      <w:ind w:left="1000" w:hanging="200"/>
    </w:pPr>
    <w:rPr>
      <w:rFonts w:cs="Arial"/>
      <w:sz w:val="20"/>
      <w:szCs w:val="20"/>
      <w:lang w:eastAsia="en-US"/>
    </w:rPr>
  </w:style>
  <w:style w:type="paragraph" w:styleId="Index6">
    <w:name w:val="index 6"/>
    <w:basedOn w:val="Normal"/>
    <w:next w:val="Normal"/>
    <w:autoRedefine/>
    <w:uiPriority w:val="99"/>
    <w:semiHidden/>
    <w:unhideWhenUsed/>
    <w:rsid w:val="00AD3122"/>
    <w:pPr>
      <w:spacing w:after="0" w:line="240" w:lineRule="auto"/>
      <w:ind w:left="1200" w:hanging="200"/>
    </w:pPr>
    <w:rPr>
      <w:rFonts w:cs="Arial"/>
      <w:sz w:val="20"/>
      <w:szCs w:val="20"/>
      <w:lang w:eastAsia="en-US"/>
    </w:rPr>
  </w:style>
  <w:style w:type="paragraph" w:styleId="Index7">
    <w:name w:val="index 7"/>
    <w:basedOn w:val="Normal"/>
    <w:next w:val="Normal"/>
    <w:autoRedefine/>
    <w:uiPriority w:val="99"/>
    <w:semiHidden/>
    <w:unhideWhenUsed/>
    <w:rsid w:val="00AD3122"/>
    <w:pPr>
      <w:spacing w:after="0" w:line="240" w:lineRule="auto"/>
      <w:ind w:left="1400" w:hanging="200"/>
    </w:pPr>
    <w:rPr>
      <w:rFonts w:cs="Arial"/>
      <w:sz w:val="20"/>
      <w:szCs w:val="20"/>
      <w:lang w:eastAsia="en-US"/>
    </w:rPr>
  </w:style>
  <w:style w:type="paragraph" w:styleId="Index8">
    <w:name w:val="index 8"/>
    <w:basedOn w:val="Normal"/>
    <w:next w:val="Normal"/>
    <w:autoRedefine/>
    <w:uiPriority w:val="99"/>
    <w:semiHidden/>
    <w:unhideWhenUsed/>
    <w:rsid w:val="00AD3122"/>
    <w:pPr>
      <w:spacing w:after="0" w:line="240" w:lineRule="auto"/>
      <w:ind w:left="1600" w:hanging="200"/>
    </w:pPr>
    <w:rPr>
      <w:rFonts w:cs="Arial"/>
      <w:sz w:val="20"/>
      <w:szCs w:val="20"/>
      <w:lang w:eastAsia="en-US"/>
    </w:rPr>
  </w:style>
  <w:style w:type="paragraph" w:styleId="Index9">
    <w:name w:val="index 9"/>
    <w:basedOn w:val="Normal"/>
    <w:next w:val="Normal"/>
    <w:autoRedefine/>
    <w:uiPriority w:val="99"/>
    <w:semiHidden/>
    <w:unhideWhenUsed/>
    <w:rsid w:val="00AD3122"/>
    <w:pPr>
      <w:spacing w:after="0" w:line="240" w:lineRule="auto"/>
      <w:ind w:left="1800" w:hanging="200"/>
    </w:pPr>
    <w:rPr>
      <w:rFonts w:cs="Arial"/>
      <w:sz w:val="20"/>
      <w:szCs w:val="20"/>
      <w:lang w:eastAsia="en-US"/>
    </w:rPr>
  </w:style>
  <w:style w:type="paragraph" w:styleId="IndexHeading">
    <w:name w:val="index heading"/>
    <w:basedOn w:val="Normal"/>
    <w:next w:val="Index1"/>
    <w:uiPriority w:val="99"/>
    <w:semiHidden/>
    <w:unhideWhenUsed/>
    <w:rsid w:val="00AD3122"/>
    <w:pPr>
      <w:spacing w:after="0" w:line="240" w:lineRule="auto"/>
    </w:pPr>
    <w:rPr>
      <w:rFonts w:asciiTheme="majorHAnsi" w:eastAsiaTheme="majorEastAsia" w:hAnsiTheme="majorHAnsi" w:cstheme="majorBidi"/>
      <w:b/>
      <w:bCs/>
      <w:sz w:val="20"/>
      <w:szCs w:val="20"/>
      <w:lang w:eastAsia="en-US"/>
    </w:rPr>
  </w:style>
  <w:style w:type="paragraph" w:styleId="IntenseQuote">
    <w:name w:val="Intense Quote"/>
    <w:basedOn w:val="Normal"/>
    <w:next w:val="Normal"/>
    <w:link w:val="IntenseQuoteChar"/>
    <w:uiPriority w:val="30"/>
    <w:qFormat/>
    <w:rsid w:val="00AD3122"/>
    <w:pPr>
      <w:pBdr>
        <w:top w:val="single" w:sz="4" w:space="10" w:color="4472C4" w:themeColor="accent1"/>
        <w:bottom w:val="single" w:sz="4" w:space="10" w:color="4472C4" w:themeColor="accent1"/>
      </w:pBdr>
      <w:spacing w:before="360" w:after="360" w:line="240" w:lineRule="auto"/>
      <w:ind w:left="864" w:right="864"/>
      <w:jc w:val="center"/>
    </w:pPr>
    <w:rPr>
      <w:rFonts w:cs="Arial"/>
      <w:i/>
      <w:iCs/>
      <w:color w:val="4472C4" w:themeColor="accent1"/>
      <w:sz w:val="20"/>
      <w:szCs w:val="20"/>
      <w:lang w:eastAsia="en-US"/>
    </w:rPr>
  </w:style>
  <w:style w:type="character" w:customStyle="1" w:styleId="IntenseQuoteChar">
    <w:name w:val="Intense Quote Char"/>
    <w:basedOn w:val="DefaultParagraphFont"/>
    <w:link w:val="IntenseQuote"/>
    <w:uiPriority w:val="30"/>
    <w:rsid w:val="00AD3122"/>
    <w:rPr>
      <w:rFonts w:ascii="Calibri" w:eastAsia="Calibri" w:hAnsi="Calibri" w:cs="Arial"/>
      <w:i/>
      <w:iCs/>
      <w:color w:val="4472C4" w:themeColor="accent1"/>
      <w:sz w:val="20"/>
      <w:szCs w:val="20"/>
    </w:rPr>
  </w:style>
  <w:style w:type="paragraph" w:styleId="List">
    <w:name w:val="List"/>
    <w:basedOn w:val="Normal"/>
    <w:uiPriority w:val="99"/>
    <w:semiHidden/>
    <w:unhideWhenUsed/>
    <w:rsid w:val="00AD3122"/>
    <w:pPr>
      <w:spacing w:after="0" w:line="240" w:lineRule="auto"/>
      <w:ind w:left="360" w:hanging="360"/>
      <w:contextualSpacing/>
    </w:pPr>
    <w:rPr>
      <w:rFonts w:cs="Arial"/>
      <w:sz w:val="20"/>
      <w:szCs w:val="20"/>
      <w:lang w:eastAsia="en-US"/>
    </w:rPr>
  </w:style>
  <w:style w:type="paragraph" w:styleId="List2">
    <w:name w:val="List 2"/>
    <w:basedOn w:val="Normal"/>
    <w:uiPriority w:val="99"/>
    <w:semiHidden/>
    <w:unhideWhenUsed/>
    <w:rsid w:val="00AD3122"/>
    <w:pPr>
      <w:spacing w:after="0" w:line="240" w:lineRule="auto"/>
      <w:ind w:left="720" w:hanging="360"/>
      <w:contextualSpacing/>
    </w:pPr>
    <w:rPr>
      <w:rFonts w:cs="Arial"/>
      <w:sz w:val="20"/>
      <w:szCs w:val="20"/>
      <w:lang w:eastAsia="en-US"/>
    </w:rPr>
  </w:style>
  <w:style w:type="paragraph" w:styleId="List3">
    <w:name w:val="List 3"/>
    <w:basedOn w:val="Normal"/>
    <w:uiPriority w:val="99"/>
    <w:semiHidden/>
    <w:unhideWhenUsed/>
    <w:rsid w:val="00AD3122"/>
    <w:pPr>
      <w:spacing w:after="0" w:line="240" w:lineRule="auto"/>
      <w:ind w:left="1080" w:hanging="360"/>
      <w:contextualSpacing/>
    </w:pPr>
    <w:rPr>
      <w:rFonts w:cs="Arial"/>
      <w:sz w:val="20"/>
      <w:szCs w:val="20"/>
      <w:lang w:eastAsia="en-US"/>
    </w:rPr>
  </w:style>
  <w:style w:type="paragraph" w:styleId="List4">
    <w:name w:val="List 4"/>
    <w:basedOn w:val="Normal"/>
    <w:uiPriority w:val="99"/>
    <w:semiHidden/>
    <w:unhideWhenUsed/>
    <w:rsid w:val="00AD3122"/>
    <w:pPr>
      <w:spacing w:after="0" w:line="240" w:lineRule="auto"/>
      <w:ind w:left="1440" w:hanging="360"/>
      <w:contextualSpacing/>
    </w:pPr>
    <w:rPr>
      <w:rFonts w:cs="Arial"/>
      <w:sz w:val="20"/>
      <w:szCs w:val="20"/>
      <w:lang w:eastAsia="en-US"/>
    </w:rPr>
  </w:style>
  <w:style w:type="paragraph" w:styleId="List5">
    <w:name w:val="List 5"/>
    <w:basedOn w:val="Normal"/>
    <w:uiPriority w:val="99"/>
    <w:semiHidden/>
    <w:unhideWhenUsed/>
    <w:rsid w:val="00AD3122"/>
    <w:pPr>
      <w:spacing w:after="0" w:line="240" w:lineRule="auto"/>
      <w:ind w:left="1800" w:hanging="360"/>
      <w:contextualSpacing/>
    </w:pPr>
    <w:rPr>
      <w:rFonts w:cs="Arial"/>
      <w:sz w:val="20"/>
      <w:szCs w:val="20"/>
      <w:lang w:eastAsia="en-US"/>
    </w:rPr>
  </w:style>
  <w:style w:type="paragraph" w:styleId="ListBullet">
    <w:name w:val="List Bullet"/>
    <w:basedOn w:val="Normal"/>
    <w:uiPriority w:val="99"/>
    <w:semiHidden/>
    <w:unhideWhenUsed/>
    <w:rsid w:val="00AD3122"/>
    <w:pPr>
      <w:numPr>
        <w:numId w:val="5"/>
      </w:numPr>
      <w:spacing w:after="0" w:line="240" w:lineRule="auto"/>
      <w:contextualSpacing/>
    </w:pPr>
    <w:rPr>
      <w:rFonts w:cs="Arial"/>
      <w:sz w:val="20"/>
      <w:szCs w:val="20"/>
      <w:lang w:eastAsia="en-US"/>
    </w:rPr>
  </w:style>
  <w:style w:type="paragraph" w:styleId="ListBullet2">
    <w:name w:val="List Bullet 2"/>
    <w:basedOn w:val="Normal"/>
    <w:uiPriority w:val="99"/>
    <w:semiHidden/>
    <w:unhideWhenUsed/>
    <w:rsid w:val="00AD3122"/>
    <w:pPr>
      <w:numPr>
        <w:numId w:val="6"/>
      </w:numPr>
      <w:spacing w:after="0" w:line="240" w:lineRule="auto"/>
      <w:contextualSpacing/>
    </w:pPr>
    <w:rPr>
      <w:rFonts w:cs="Arial"/>
      <w:sz w:val="20"/>
      <w:szCs w:val="20"/>
      <w:lang w:eastAsia="en-US"/>
    </w:rPr>
  </w:style>
  <w:style w:type="paragraph" w:styleId="ListBullet3">
    <w:name w:val="List Bullet 3"/>
    <w:basedOn w:val="Normal"/>
    <w:uiPriority w:val="99"/>
    <w:semiHidden/>
    <w:unhideWhenUsed/>
    <w:rsid w:val="00AD3122"/>
    <w:pPr>
      <w:numPr>
        <w:numId w:val="7"/>
      </w:numPr>
      <w:spacing w:after="0" w:line="240" w:lineRule="auto"/>
      <w:contextualSpacing/>
    </w:pPr>
    <w:rPr>
      <w:rFonts w:cs="Arial"/>
      <w:sz w:val="20"/>
      <w:szCs w:val="20"/>
      <w:lang w:eastAsia="en-US"/>
    </w:rPr>
  </w:style>
  <w:style w:type="paragraph" w:styleId="ListBullet4">
    <w:name w:val="List Bullet 4"/>
    <w:basedOn w:val="Normal"/>
    <w:uiPriority w:val="99"/>
    <w:semiHidden/>
    <w:unhideWhenUsed/>
    <w:rsid w:val="00AD3122"/>
    <w:pPr>
      <w:numPr>
        <w:numId w:val="8"/>
      </w:numPr>
      <w:spacing w:after="0" w:line="240" w:lineRule="auto"/>
      <w:contextualSpacing/>
    </w:pPr>
    <w:rPr>
      <w:rFonts w:cs="Arial"/>
      <w:sz w:val="20"/>
      <w:szCs w:val="20"/>
      <w:lang w:eastAsia="en-US"/>
    </w:rPr>
  </w:style>
  <w:style w:type="paragraph" w:styleId="ListBullet5">
    <w:name w:val="List Bullet 5"/>
    <w:basedOn w:val="Normal"/>
    <w:uiPriority w:val="99"/>
    <w:semiHidden/>
    <w:unhideWhenUsed/>
    <w:rsid w:val="00AD3122"/>
    <w:pPr>
      <w:numPr>
        <w:numId w:val="9"/>
      </w:numPr>
      <w:spacing w:after="0" w:line="240" w:lineRule="auto"/>
      <w:contextualSpacing/>
    </w:pPr>
    <w:rPr>
      <w:rFonts w:cs="Arial"/>
      <w:sz w:val="20"/>
      <w:szCs w:val="20"/>
      <w:lang w:eastAsia="en-US"/>
    </w:rPr>
  </w:style>
  <w:style w:type="paragraph" w:styleId="ListContinue">
    <w:name w:val="List Continue"/>
    <w:basedOn w:val="Normal"/>
    <w:uiPriority w:val="99"/>
    <w:semiHidden/>
    <w:unhideWhenUsed/>
    <w:rsid w:val="00AD3122"/>
    <w:pPr>
      <w:spacing w:after="120" w:line="240" w:lineRule="auto"/>
      <w:ind w:left="360"/>
      <w:contextualSpacing/>
    </w:pPr>
    <w:rPr>
      <w:rFonts w:cs="Arial"/>
      <w:sz w:val="20"/>
      <w:szCs w:val="20"/>
      <w:lang w:eastAsia="en-US"/>
    </w:rPr>
  </w:style>
  <w:style w:type="paragraph" w:styleId="ListContinue2">
    <w:name w:val="List Continue 2"/>
    <w:basedOn w:val="Normal"/>
    <w:uiPriority w:val="99"/>
    <w:semiHidden/>
    <w:unhideWhenUsed/>
    <w:rsid w:val="00AD3122"/>
    <w:pPr>
      <w:spacing w:after="120" w:line="240" w:lineRule="auto"/>
      <w:ind w:left="720"/>
      <w:contextualSpacing/>
    </w:pPr>
    <w:rPr>
      <w:rFonts w:cs="Arial"/>
      <w:sz w:val="20"/>
      <w:szCs w:val="20"/>
      <w:lang w:eastAsia="en-US"/>
    </w:rPr>
  </w:style>
  <w:style w:type="paragraph" w:styleId="ListContinue3">
    <w:name w:val="List Continue 3"/>
    <w:basedOn w:val="Normal"/>
    <w:uiPriority w:val="99"/>
    <w:semiHidden/>
    <w:unhideWhenUsed/>
    <w:rsid w:val="00AD3122"/>
    <w:pPr>
      <w:spacing w:after="120" w:line="240" w:lineRule="auto"/>
      <w:ind w:left="1080"/>
      <w:contextualSpacing/>
    </w:pPr>
    <w:rPr>
      <w:rFonts w:cs="Arial"/>
      <w:sz w:val="20"/>
      <w:szCs w:val="20"/>
      <w:lang w:eastAsia="en-US"/>
    </w:rPr>
  </w:style>
  <w:style w:type="paragraph" w:styleId="ListContinue4">
    <w:name w:val="List Continue 4"/>
    <w:basedOn w:val="Normal"/>
    <w:uiPriority w:val="99"/>
    <w:semiHidden/>
    <w:unhideWhenUsed/>
    <w:rsid w:val="00AD3122"/>
    <w:pPr>
      <w:spacing w:after="120" w:line="240" w:lineRule="auto"/>
      <w:ind w:left="1440"/>
      <w:contextualSpacing/>
    </w:pPr>
    <w:rPr>
      <w:rFonts w:cs="Arial"/>
      <w:sz w:val="20"/>
      <w:szCs w:val="20"/>
      <w:lang w:eastAsia="en-US"/>
    </w:rPr>
  </w:style>
  <w:style w:type="paragraph" w:styleId="ListContinue5">
    <w:name w:val="List Continue 5"/>
    <w:basedOn w:val="Normal"/>
    <w:uiPriority w:val="99"/>
    <w:semiHidden/>
    <w:unhideWhenUsed/>
    <w:rsid w:val="00AD3122"/>
    <w:pPr>
      <w:spacing w:after="120" w:line="240" w:lineRule="auto"/>
      <w:ind w:left="1800"/>
      <w:contextualSpacing/>
    </w:pPr>
    <w:rPr>
      <w:rFonts w:cs="Arial"/>
      <w:sz w:val="20"/>
      <w:szCs w:val="20"/>
      <w:lang w:eastAsia="en-US"/>
    </w:rPr>
  </w:style>
  <w:style w:type="paragraph" w:styleId="ListNumber">
    <w:name w:val="List Number"/>
    <w:basedOn w:val="Normal"/>
    <w:uiPriority w:val="99"/>
    <w:semiHidden/>
    <w:unhideWhenUsed/>
    <w:rsid w:val="00AD3122"/>
    <w:pPr>
      <w:numPr>
        <w:numId w:val="10"/>
      </w:numPr>
      <w:spacing w:after="0" w:line="240" w:lineRule="auto"/>
      <w:contextualSpacing/>
    </w:pPr>
    <w:rPr>
      <w:rFonts w:cs="Arial"/>
      <w:sz w:val="20"/>
      <w:szCs w:val="20"/>
      <w:lang w:eastAsia="en-US"/>
    </w:rPr>
  </w:style>
  <w:style w:type="paragraph" w:styleId="ListNumber2">
    <w:name w:val="List Number 2"/>
    <w:basedOn w:val="Normal"/>
    <w:uiPriority w:val="99"/>
    <w:semiHidden/>
    <w:unhideWhenUsed/>
    <w:rsid w:val="00AD3122"/>
    <w:pPr>
      <w:numPr>
        <w:numId w:val="11"/>
      </w:numPr>
      <w:spacing w:after="0" w:line="240" w:lineRule="auto"/>
      <w:contextualSpacing/>
    </w:pPr>
    <w:rPr>
      <w:rFonts w:cs="Arial"/>
      <w:sz w:val="20"/>
      <w:szCs w:val="20"/>
      <w:lang w:eastAsia="en-US"/>
    </w:rPr>
  </w:style>
  <w:style w:type="paragraph" w:styleId="ListNumber3">
    <w:name w:val="List Number 3"/>
    <w:basedOn w:val="Normal"/>
    <w:uiPriority w:val="99"/>
    <w:semiHidden/>
    <w:unhideWhenUsed/>
    <w:rsid w:val="00AD3122"/>
    <w:pPr>
      <w:numPr>
        <w:numId w:val="12"/>
      </w:numPr>
      <w:spacing w:after="0" w:line="240" w:lineRule="auto"/>
      <w:contextualSpacing/>
    </w:pPr>
    <w:rPr>
      <w:rFonts w:cs="Arial"/>
      <w:sz w:val="20"/>
      <w:szCs w:val="20"/>
      <w:lang w:eastAsia="en-US"/>
    </w:rPr>
  </w:style>
  <w:style w:type="paragraph" w:styleId="ListNumber4">
    <w:name w:val="List Number 4"/>
    <w:basedOn w:val="Normal"/>
    <w:uiPriority w:val="99"/>
    <w:semiHidden/>
    <w:unhideWhenUsed/>
    <w:rsid w:val="00AD3122"/>
    <w:pPr>
      <w:numPr>
        <w:numId w:val="13"/>
      </w:numPr>
      <w:spacing w:after="0" w:line="240" w:lineRule="auto"/>
      <w:contextualSpacing/>
    </w:pPr>
    <w:rPr>
      <w:rFonts w:cs="Arial"/>
      <w:sz w:val="20"/>
      <w:szCs w:val="20"/>
      <w:lang w:eastAsia="en-US"/>
    </w:rPr>
  </w:style>
  <w:style w:type="paragraph" w:styleId="ListNumber5">
    <w:name w:val="List Number 5"/>
    <w:basedOn w:val="Normal"/>
    <w:uiPriority w:val="99"/>
    <w:semiHidden/>
    <w:unhideWhenUsed/>
    <w:rsid w:val="00AD3122"/>
    <w:pPr>
      <w:numPr>
        <w:numId w:val="14"/>
      </w:numPr>
      <w:spacing w:after="0" w:line="240" w:lineRule="auto"/>
      <w:contextualSpacing/>
    </w:pPr>
    <w:rPr>
      <w:rFonts w:cs="Arial"/>
      <w:sz w:val="20"/>
      <w:szCs w:val="20"/>
      <w:lang w:eastAsia="en-US"/>
    </w:rPr>
  </w:style>
  <w:style w:type="paragraph" w:styleId="MacroText">
    <w:name w:val="macro"/>
    <w:link w:val="MacroTextChar"/>
    <w:uiPriority w:val="99"/>
    <w:semiHidden/>
    <w:unhideWhenUsed/>
    <w:rsid w:val="00AD312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libri" w:hAnsi="Consolas" w:cs="Arial"/>
      <w:sz w:val="20"/>
      <w:szCs w:val="20"/>
    </w:rPr>
  </w:style>
  <w:style w:type="character" w:customStyle="1" w:styleId="MacroTextChar">
    <w:name w:val="Macro Text Char"/>
    <w:basedOn w:val="DefaultParagraphFont"/>
    <w:link w:val="MacroText"/>
    <w:uiPriority w:val="99"/>
    <w:semiHidden/>
    <w:rsid w:val="00AD3122"/>
    <w:rPr>
      <w:rFonts w:ascii="Consolas" w:eastAsia="Calibri" w:hAnsi="Consolas" w:cs="Arial"/>
      <w:sz w:val="20"/>
      <w:szCs w:val="20"/>
    </w:rPr>
  </w:style>
  <w:style w:type="paragraph" w:styleId="MessageHeader">
    <w:name w:val="Message Header"/>
    <w:basedOn w:val="Normal"/>
    <w:link w:val="MessageHeaderChar"/>
    <w:uiPriority w:val="99"/>
    <w:semiHidden/>
    <w:unhideWhenUsed/>
    <w:rsid w:val="00AD31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lang w:eastAsia="en-US"/>
    </w:rPr>
  </w:style>
  <w:style w:type="character" w:customStyle="1" w:styleId="MessageHeaderChar">
    <w:name w:val="Message Header Char"/>
    <w:basedOn w:val="DefaultParagraphFont"/>
    <w:link w:val="MessageHeader"/>
    <w:uiPriority w:val="99"/>
    <w:semiHidden/>
    <w:rsid w:val="00AD3122"/>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AD3122"/>
    <w:pPr>
      <w:spacing w:after="0" w:line="240" w:lineRule="auto"/>
      <w:ind w:left="720"/>
    </w:pPr>
    <w:rPr>
      <w:rFonts w:cs="Arial"/>
      <w:sz w:val="20"/>
      <w:szCs w:val="20"/>
      <w:lang w:eastAsia="en-US"/>
    </w:rPr>
  </w:style>
  <w:style w:type="paragraph" w:styleId="NoteHeading">
    <w:name w:val="Note Heading"/>
    <w:basedOn w:val="Normal"/>
    <w:next w:val="Normal"/>
    <w:link w:val="NoteHeadingChar"/>
    <w:uiPriority w:val="99"/>
    <w:semiHidden/>
    <w:unhideWhenUsed/>
    <w:rsid w:val="00AD3122"/>
    <w:pPr>
      <w:spacing w:after="0" w:line="240" w:lineRule="auto"/>
    </w:pPr>
    <w:rPr>
      <w:rFonts w:cs="Arial"/>
      <w:sz w:val="20"/>
      <w:szCs w:val="20"/>
      <w:lang w:eastAsia="en-US"/>
    </w:rPr>
  </w:style>
  <w:style w:type="character" w:customStyle="1" w:styleId="NoteHeadingChar">
    <w:name w:val="Note Heading Char"/>
    <w:basedOn w:val="DefaultParagraphFont"/>
    <w:link w:val="NoteHeading"/>
    <w:uiPriority w:val="99"/>
    <w:semiHidden/>
    <w:rsid w:val="00AD3122"/>
    <w:rPr>
      <w:rFonts w:ascii="Calibri" w:eastAsia="Calibri" w:hAnsi="Calibri" w:cs="Arial"/>
      <w:sz w:val="20"/>
      <w:szCs w:val="20"/>
    </w:rPr>
  </w:style>
  <w:style w:type="paragraph" w:styleId="PlainText">
    <w:name w:val="Plain Text"/>
    <w:basedOn w:val="Normal"/>
    <w:link w:val="PlainTextChar"/>
    <w:uiPriority w:val="99"/>
    <w:semiHidden/>
    <w:unhideWhenUsed/>
    <w:rsid w:val="00AD3122"/>
    <w:pPr>
      <w:spacing w:after="0" w:line="240" w:lineRule="auto"/>
    </w:pPr>
    <w:rPr>
      <w:rFonts w:ascii="Consolas" w:hAnsi="Consolas" w:cs="Arial"/>
      <w:sz w:val="21"/>
      <w:szCs w:val="21"/>
      <w:lang w:eastAsia="en-US"/>
    </w:rPr>
  </w:style>
  <w:style w:type="character" w:customStyle="1" w:styleId="PlainTextChar">
    <w:name w:val="Plain Text Char"/>
    <w:basedOn w:val="DefaultParagraphFont"/>
    <w:link w:val="PlainText"/>
    <w:uiPriority w:val="99"/>
    <w:semiHidden/>
    <w:rsid w:val="00AD3122"/>
    <w:rPr>
      <w:rFonts w:ascii="Consolas" w:eastAsia="Calibri" w:hAnsi="Consolas" w:cs="Arial"/>
      <w:sz w:val="21"/>
      <w:szCs w:val="21"/>
    </w:rPr>
  </w:style>
  <w:style w:type="paragraph" w:styleId="Quote">
    <w:name w:val="Quote"/>
    <w:basedOn w:val="Normal"/>
    <w:next w:val="Normal"/>
    <w:link w:val="QuoteChar"/>
    <w:uiPriority w:val="29"/>
    <w:qFormat/>
    <w:rsid w:val="00AD3122"/>
    <w:pPr>
      <w:spacing w:before="200" w:line="240" w:lineRule="auto"/>
      <w:ind w:left="864" w:right="864"/>
      <w:jc w:val="center"/>
    </w:pPr>
    <w:rPr>
      <w:rFonts w:cs="Arial"/>
      <w:i/>
      <w:iCs/>
      <w:color w:val="404040" w:themeColor="text1" w:themeTint="BF"/>
      <w:sz w:val="20"/>
      <w:szCs w:val="20"/>
      <w:lang w:eastAsia="en-US"/>
    </w:rPr>
  </w:style>
  <w:style w:type="character" w:customStyle="1" w:styleId="QuoteChar">
    <w:name w:val="Quote Char"/>
    <w:basedOn w:val="DefaultParagraphFont"/>
    <w:link w:val="Quote"/>
    <w:uiPriority w:val="29"/>
    <w:rsid w:val="00AD3122"/>
    <w:rPr>
      <w:rFonts w:ascii="Calibri" w:eastAsia="Calibri" w:hAnsi="Calibri" w:cs="Arial"/>
      <w:i/>
      <w:iCs/>
      <w:color w:val="404040" w:themeColor="text1" w:themeTint="BF"/>
      <w:sz w:val="20"/>
      <w:szCs w:val="20"/>
    </w:rPr>
  </w:style>
  <w:style w:type="paragraph" w:styleId="Salutation">
    <w:name w:val="Salutation"/>
    <w:basedOn w:val="Normal"/>
    <w:next w:val="Normal"/>
    <w:link w:val="SalutationChar"/>
    <w:uiPriority w:val="99"/>
    <w:semiHidden/>
    <w:unhideWhenUsed/>
    <w:rsid w:val="00AD3122"/>
    <w:pPr>
      <w:spacing w:after="0" w:line="240" w:lineRule="auto"/>
    </w:pPr>
    <w:rPr>
      <w:rFonts w:cs="Arial"/>
      <w:sz w:val="20"/>
      <w:szCs w:val="20"/>
      <w:lang w:eastAsia="en-US"/>
    </w:rPr>
  </w:style>
  <w:style w:type="character" w:customStyle="1" w:styleId="SalutationChar">
    <w:name w:val="Salutation Char"/>
    <w:basedOn w:val="DefaultParagraphFont"/>
    <w:link w:val="Salutation"/>
    <w:uiPriority w:val="99"/>
    <w:semiHidden/>
    <w:rsid w:val="00AD3122"/>
    <w:rPr>
      <w:rFonts w:ascii="Calibri" w:eastAsia="Calibri" w:hAnsi="Calibri" w:cs="Arial"/>
      <w:sz w:val="20"/>
      <w:szCs w:val="20"/>
    </w:rPr>
  </w:style>
  <w:style w:type="paragraph" w:styleId="Signature">
    <w:name w:val="Signature"/>
    <w:basedOn w:val="Normal"/>
    <w:link w:val="SignatureChar"/>
    <w:uiPriority w:val="99"/>
    <w:semiHidden/>
    <w:unhideWhenUsed/>
    <w:rsid w:val="00AD3122"/>
    <w:pPr>
      <w:spacing w:after="0" w:line="240" w:lineRule="auto"/>
      <w:ind w:left="4320"/>
    </w:pPr>
    <w:rPr>
      <w:rFonts w:cs="Arial"/>
      <w:sz w:val="20"/>
      <w:szCs w:val="20"/>
      <w:lang w:eastAsia="en-US"/>
    </w:rPr>
  </w:style>
  <w:style w:type="character" w:customStyle="1" w:styleId="SignatureChar">
    <w:name w:val="Signature Char"/>
    <w:basedOn w:val="DefaultParagraphFont"/>
    <w:link w:val="Signature"/>
    <w:uiPriority w:val="99"/>
    <w:semiHidden/>
    <w:rsid w:val="00AD3122"/>
    <w:rPr>
      <w:rFonts w:ascii="Calibri" w:eastAsia="Calibri" w:hAnsi="Calibri" w:cs="Arial"/>
      <w:sz w:val="20"/>
      <w:szCs w:val="20"/>
    </w:rPr>
  </w:style>
  <w:style w:type="paragraph" w:styleId="Subtitle">
    <w:name w:val="Subtitle"/>
    <w:basedOn w:val="Normal"/>
    <w:next w:val="Normal"/>
    <w:link w:val="SubtitleChar"/>
    <w:uiPriority w:val="11"/>
    <w:qFormat/>
    <w:rsid w:val="00AD3122"/>
    <w:pPr>
      <w:numPr>
        <w:ilvl w:val="1"/>
      </w:numPr>
      <w:spacing w:line="240"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AD312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D3122"/>
    <w:pPr>
      <w:spacing w:after="0" w:line="240" w:lineRule="auto"/>
      <w:ind w:left="200" w:hanging="200"/>
    </w:pPr>
    <w:rPr>
      <w:rFonts w:cs="Arial"/>
      <w:sz w:val="20"/>
      <w:szCs w:val="20"/>
      <w:lang w:eastAsia="en-US"/>
    </w:rPr>
  </w:style>
  <w:style w:type="paragraph" w:styleId="TableofFigures">
    <w:name w:val="table of figures"/>
    <w:basedOn w:val="Normal"/>
    <w:next w:val="Normal"/>
    <w:uiPriority w:val="99"/>
    <w:semiHidden/>
    <w:unhideWhenUsed/>
    <w:rsid w:val="00AD3122"/>
    <w:pPr>
      <w:spacing w:after="0" w:line="240" w:lineRule="auto"/>
    </w:pPr>
    <w:rPr>
      <w:rFonts w:cs="Arial"/>
      <w:sz w:val="20"/>
      <w:szCs w:val="20"/>
      <w:lang w:eastAsia="en-US"/>
    </w:rPr>
  </w:style>
  <w:style w:type="paragraph" w:styleId="Title">
    <w:name w:val="Title"/>
    <w:basedOn w:val="Normal"/>
    <w:next w:val="Normal"/>
    <w:link w:val="TitleChar"/>
    <w:uiPriority w:val="10"/>
    <w:qFormat/>
    <w:rsid w:val="00AD312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AD312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D3122"/>
    <w:pPr>
      <w:spacing w:before="120" w:after="0" w:line="240" w:lineRule="auto"/>
    </w:pPr>
    <w:rPr>
      <w:rFonts w:asciiTheme="majorHAnsi" w:eastAsiaTheme="majorEastAsia" w:hAnsiTheme="majorHAnsi" w:cstheme="majorBidi"/>
      <w:b/>
      <w:bCs/>
      <w:sz w:val="24"/>
      <w:szCs w:val="24"/>
      <w:lang w:eastAsia="en-US"/>
    </w:rPr>
  </w:style>
  <w:style w:type="paragraph" w:styleId="TOC1">
    <w:name w:val="toc 1"/>
    <w:basedOn w:val="Normal"/>
    <w:next w:val="Normal"/>
    <w:autoRedefine/>
    <w:uiPriority w:val="39"/>
    <w:unhideWhenUsed/>
    <w:rsid w:val="00AD3122"/>
    <w:pPr>
      <w:spacing w:after="100" w:line="240" w:lineRule="auto"/>
    </w:pPr>
    <w:rPr>
      <w:rFonts w:cs="Arial"/>
      <w:sz w:val="20"/>
      <w:szCs w:val="20"/>
      <w:lang w:eastAsia="en-US"/>
    </w:rPr>
  </w:style>
  <w:style w:type="paragraph" w:styleId="TOC2">
    <w:name w:val="toc 2"/>
    <w:basedOn w:val="Normal"/>
    <w:next w:val="Normal"/>
    <w:autoRedefine/>
    <w:uiPriority w:val="39"/>
    <w:unhideWhenUsed/>
    <w:rsid w:val="00AD3122"/>
    <w:pPr>
      <w:spacing w:after="100" w:line="240" w:lineRule="auto"/>
      <w:ind w:left="200"/>
    </w:pPr>
    <w:rPr>
      <w:rFonts w:cs="Arial"/>
      <w:sz w:val="20"/>
      <w:szCs w:val="20"/>
      <w:lang w:eastAsia="en-US"/>
    </w:rPr>
  </w:style>
  <w:style w:type="paragraph" w:styleId="TOC3">
    <w:name w:val="toc 3"/>
    <w:basedOn w:val="Normal"/>
    <w:next w:val="Normal"/>
    <w:autoRedefine/>
    <w:uiPriority w:val="39"/>
    <w:unhideWhenUsed/>
    <w:rsid w:val="00AD3122"/>
    <w:pPr>
      <w:spacing w:after="100" w:line="240" w:lineRule="auto"/>
      <w:ind w:left="400"/>
    </w:pPr>
    <w:rPr>
      <w:rFonts w:cs="Arial"/>
      <w:sz w:val="20"/>
      <w:szCs w:val="20"/>
      <w:lang w:eastAsia="en-US"/>
    </w:rPr>
  </w:style>
  <w:style w:type="paragraph" w:styleId="TOC4">
    <w:name w:val="toc 4"/>
    <w:basedOn w:val="Normal"/>
    <w:next w:val="Normal"/>
    <w:autoRedefine/>
    <w:uiPriority w:val="39"/>
    <w:semiHidden/>
    <w:unhideWhenUsed/>
    <w:rsid w:val="00AD3122"/>
    <w:pPr>
      <w:spacing w:after="100" w:line="240" w:lineRule="auto"/>
      <w:ind w:left="600"/>
    </w:pPr>
    <w:rPr>
      <w:rFonts w:cs="Arial"/>
      <w:sz w:val="20"/>
      <w:szCs w:val="20"/>
      <w:lang w:eastAsia="en-US"/>
    </w:rPr>
  </w:style>
  <w:style w:type="paragraph" w:styleId="TOC5">
    <w:name w:val="toc 5"/>
    <w:basedOn w:val="Normal"/>
    <w:next w:val="Normal"/>
    <w:autoRedefine/>
    <w:uiPriority w:val="39"/>
    <w:semiHidden/>
    <w:unhideWhenUsed/>
    <w:rsid w:val="00AD3122"/>
    <w:pPr>
      <w:spacing w:after="100" w:line="240" w:lineRule="auto"/>
      <w:ind w:left="800"/>
    </w:pPr>
    <w:rPr>
      <w:rFonts w:cs="Arial"/>
      <w:sz w:val="20"/>
      <w:szCs w:val="20"/>
      <w:lang w:eastAsia="en-US"/>
    </w:rPr>
  </w:style>
  <w:style w:type="paragraph" w:styleId="TOC6">
    <w:name w:val="toc 6"/>
    <w:basedOn w:val="Normal"/>
    <w:next w:val="Normal"/>
    <w:autoRedefine/>
    <w:uiPriority w:val="39"/>
    <w:semiHidden/>
    <w:unhideWhenUsed/>
    <w:rsid w:val="00AD3122"/>
    <w:pPr>
      <w:spacing w:after="100" w:line="240" w:lineRule="auto"/>
      <w:ind w:left="1000"/>
    </w:pPr>
    <w:rPr>
      <w:rFonts w:cs="Arial"/>
      <w:sz w:val="20"/>
      <w:szCs w:val="20"/>
      <w:lang w:eastAsia="en-US"/>
    </w:rPr>
  </w:style>
  <w:style w:type="paragraph" w:styleId="TOC7">
    <w:name w:val="toc 7"/>
    <w:basedOn w:val="Normal"/>
    <w:next w:val="Normal"/>
    <w:autoRedefine/>
    <w:uiPriority w:val="39"/>
    <w:semiHidden/>
    <w:unhideWhenUsed/>
    <w:rsid w:val="00AD3122"/>
    <w:pPr>
      <w:spacing w:after="100" w:line="240" w:lineRule="auto"/>
      <w:ind w:left="1200"/>
    </w:pPr>
    <w:rPr>
      <w:rFonts w:cs="Arial"/>
      <w:sz w:val="20"/>
      <w:szCs w:val="20"/>
      <w:lang w:eastAsia="en-US"/>
    </w:rPr>
  </w:style>
  <w:style w:type="paragraph" w:styleId="TOC8">
    <w:name w:val="toc 8"/>
    <w:basedOn w:val="Normal"/>
    <w:next w:val="Normal"/>
    <w:autoRedefine/>
    <w:uiPriority w:val="39"/>
    <w:semiHidden/>
    <w:unhideWhenUsed/>
    <w:rsid w:val="00AD3122"/>
    <w:pPr>
      <w:spacing w:after="100" w:line="240" w:lineRule="auto"/>
      <w:ind w:left="1400"/>
    </w:pPr>
    <w:rPr>
      <w:rFonts w:cs="Arial"/>
      <w:sz w:val="20"/>
      <w:szCs w:val="20"/>
      <w:lang w:eastAsia="en-US"/>
    </w:rPr>
  </w:style>
  <w:style w:type="paragraph" w:styleId="TOC9">
    <w:name w:val="toc 9"/>
    <w:basedOn w:val="Normal"/>
    <w:next w:val="Normal"/>
    <w:autoRedefine/>
    <w:uiPriority w:val="39"/>
    <w:semiHidden/>
    <w:unhideWhenUsed/>
    <w:rsid w:val="00AD3122"/>
    <w:pPr>
      <w:spacing w:after="100" w:line="240" w:lineRule="auto"/>
      <w:ind w:left="1600"/>
    </w:pPr>
    <w:rPr>
      <w:rFonts w:cs="Arial"/>
      <w:sz w:val="20"/>
      <w:szCs w:val="20"/>
      <w:lang w:eastAsia="en-US"/>
    </w:rPr>
  </w:style>
  <w:style w:type="paragraph" w:styleId="TOCHeading">
    <w:name w:val="TOC Heading"/>
    <w:basedOn w:val="Heading1"/>
    <w:next w:val="Normal"/>
    <w:uiPriority w:val="39"/>
    <w:unhideWhenUsed/>
    <w:qFormat/>
    <w:rsid w:val="00AD3122"/>
    <w:pPr>
      <w:outlineLvl w:val="9"/>
    </w:pPr>
  </w:style>
  <w:style w:type="character" w:styleId="Strong">
    <w:name w:val="Strong"/>
    <w:basedOn w:val="DefaultParagraphFont"/>
    <w:uiPriority w:val="22"/>
    <w:qFormat/>
    <w:rsid w:val="00AD3122"/>
    <w:rPr>
      <w:b/>
      <w:bCs/>
    </w:rPr>
  </w:style>
  <w:style w:type="paragraph" w:customStyle="1" w:styleId="Default">
    <w:name w:val="Default"/>
    <w:rsid w:val="00AD3122"/>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efaultParagraphFont"/>
    <w:rsid w:val="00AD3122"/>
  </w:style>
  <w:style w:type="character" w:customStyle="1" w:styleId="UnresolvedMention1">
    <w:name w:val="Unresolved Mention1"/>
    <w:basedOn w:val="DefaultParagraphFont"/>
    <w:uiPriority w:val="99"/>
    <w:semiHidden/>
    <w:unhideWhenUsed/>
    <w:rsid w:val="00AD3122"/>
    <w:rPr>
      <w:color w:val="605E5C"/>
      <w:shd w:val="clear" w:color="auto" w:fill="E1DFDD"/>
    </w:rPr>
  </w:style>
  <w:style w:type="table" w:styleId="TableGrid">
    <w:name w:val="Table Grid"/>
    <w:basedOn w:val="TableNormal"/>
    <w:uiPriority w:val="39"/>
    <w:rsid w:val="0062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26257"/>
    <w:rPr>
      <w:color w:val="605E5C"/>
      <w:shd w:val="clear" w:color="auto" w:fill="E1DFDD"/>
    </w:rPr>
  </w:style>
  <w:style w:type="character" w:styleId="CommentReference">
    <w:name w:val="annotation reference"/>
    <w:basedOn w:val="DefaultParagraphFont"/>
    <w:uiPriority w:val="99"/>
    <w:semiHidden/>
    <w:unhideWhenUsed/>
    <w:rsid w:val="00626257"/>
    <w:rPr>
      <w:sz w:val="16"/>
      <w:szCs w:val="16"/>
    </w:rPr>
  </w:style>
  <w:style w:type="character" w:styleId="IntenseReference">
    <w:name w:val="Intense Reference"/>
    <w:basedOn w:val="DefaultParagraphFont"/>
    <w:uiPriority w:val="32"/>
    <w:qFormat/>
    <w:rsid w:val="00B708F8"/>
    <w:rPr>
      <w:b/>
      <w:bCs/>
      <w:smallCaps/>
      <w:color w:val="4472C4" w:themeColor="accent1"/>
      <w:spacing w:val="5"/>
    </w:rPr>
  </w:style>
  <w:style w:type="paragraph" w:styleId="Revision">
    <w:name w:val="Revision"/>
    <w:hidden/>
    <w:uiPriority w:val="99"/>
    <w:semiHidden/>
    <w:rsid w:val="0069213C"/>
    <w:pPr>
      <w:spacing w:after="0" w:line="240" w:lineRule="auto"/>
    </w:pPr>
    <w:rPr>
      <w:rFonts w:ascii="Calibri" w:eastAsia="Calibri" w:hAnsi="Calibri" w:cs="Calibri"/>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56385">
      <w:bodyDiv w:val="1"/>
      <w:marLeft w:val="0"/>
      <w:marRight w:val="0"/>
      <w:marTop w:val="0"/>
      <w:marBottom w:val="0"/>
      <w:divBdr>
        <w:top w:val="none" w:sz="0" w:space="0" w:color="auto"/>
        <w:left w:val="none" w:sz="0" w:space="0" w:color="auto"/>
        <w:bottom w:val="none" w:sz="0" w:space="0" w:color="auto"/>
        <w:right w:val="none" w:sz="0" w:space="0" w:color="auto"/>
      </w:divBdr>
    </w:div>
    <w:div w:id="1707827949">
      <w:bodyDiv w:val="1"/>
      <w:marLeft w:val="0"/>
      <w:marRight w:val="0"/>
      <w:marTop w:val="0"/>
      <w:marBottom w:val="0"/>
      <w:divBdr>
        <w:top w:val="none" w:sz="0" w:space="0" w:color="auto"/>
        <w:left w:val="none" w:sz="0" w:space="0" w:color="auto"/>
        <w:bottom w:val="none" w:sz="0" w:space="0" w:color="auto"/>
        <w:right w:val="none" w:sz="0" w:space="0" w:color="auto"/>
      </w:divBdr>
    </w:div>
    <w:div w:id="173233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liceulice.org/" TargetMode="Externa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s://izlazak.or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k13.org/" TargetMode="External"/><Relationship Id="rId5" Type="http://schemas.openxmlformats.org/officeDocument/2006/relationships/numbering" Target="numbering.xml"/><Relationship Id="rId15" Type="http://schemas.openxmlformats.org/officeDocument/2006/relationships/image" Target="media/image5.tiff"/><Relationship Id="rId23" Type="http://schemas.openxmlformats.org/officeDocument/2006/relationships/hyperlink" Target="https://adra.org.r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svg"/><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pescanik.net/wp-content/uploads/2021/12/izjava-da-nece-pobeci.pdf" TargetMode="External"/><Relationship Id="rId18" Type="http://schemas.openxmlformats.org/officeDocument/2006/relationships/hyperlink" Target="https://www.stat.gov.rs/sr-Latn/oblasti/trziste-rada/anketa-o-radnoj-snazi" TargetMode="External"/><Relationship Id="rId26" Type="http://schemas.openxmlformats.org/officeDocument/2006/relationships/hyperlink" Target="http://socijalnoukljucivanje.gov.rs/en/mapping-of-substandard-roma-settlements-according-to-risks-and-access-to-rights-in-the-republic-of-serbia-with-particular-attention-to-the-covid-19-epidemic-published/" TargetMode="External"/><Relationship Id="rId3" Type="http://schemas.openxmlformats.org/officeDocument/2006/relationships/hyperlink" Target="https://www.a11initiative.org/wp-content/uploads/2021/12/ENG-Utu%C5%BEivost-ekonomskih-i-socijalnih-prava-u-Srbiji-2.pdf" TargetMode="External"/><Relationship Id="rId21" Type="http://schemas.openxmlformats.org/officeDocument/2006/relationships/hyperlink" Target="http://www.cilsrbija.org/ebib/202112010903510.Mapiranje_usluga_socijalne_zastite_i_materijalne_podrske_u_nadleznosti_JLS_u_RS-2020_opt.pdf" TargetMode="External"/><Relationship Id="rId34" Type="http://schemas.openxmlformats.org/officeDocument/2006/relationships/hyperlink" Target="https://novisad2022.rs/en/what-is-ecoc/" TargetMode="External"/><Relationship Id="rId7" Type="http://schemas.openxmlformats.org/officeDocument/2006/relationships/hyperlink" Target="https://www.mgsi.gov.rs/cir/aktuelnosti/javna-rasprava-o-predlogu-nacionalne-stambene-strategije-za-period-od-2022-2032-godine" TargetMode="External"/><Relationship Id="rId12" Type="http://schemas.openxmlformats.org/officeDocument/2006/relationships/hyperlink" Target="https://pescanik.net/wp-content/uploads/2021/12/ugovor-o-radu.pdf" TargetMode="External"/><Relationship Id="rId17" Type="http://schemas.openxmlformats.org/officeDocument/2006/relationships/hyperlink" Target="https://www.europarl.europa.eu/doceo/document/TA-9-2021-0511_EN.html" TargetMode="External"/><Relationship Id="rId25" Type="http://schemas.openxmlformats.org/officeDocument/2006/relationships/hyperlink" Target="https://www.a11initiative.org/en/more-than-60-families-are-without-electricity-supply-while-the-city-administration-is-preparing-for-the-forced-evictions-of-the-socially-endangered/" TargetMode="External"/><Relationship Id="rId33" Type="http://schemas.openxmlformats.org/officeDocument/2006/relationships/hyperlink" Target="http://www.beograd.rs/lat/beoinfo/1787859-novi-objekat-za-smestaj-lica-bez-krova-na-vracaru/" TargetMode="External"/><Relationship Id="rId2" Type="http://schemas.openxmlformats.org/officeDocument/2006/relationships/hyperlink" Target="https://www.a11initiative.org/wp-content/uploads/2020/06/Second-Class-Rights_Social-Rights-in-the-Light-of-Austerity-Measures-SERBIA-2012-%E2%80%93-2020.pdf" TargetMode="External"/><Relationship Id="rId16" Type="http://schemas.openxmlformats.org/officeDocument/2006/relationships/hyperlink" Target="https://www.mgsi.gov.rs/cir/aktuelnosti/momirovitsh-fabrika-linglong-najkontrolisanije-gradilishte-u-srbiji-izvrsheno-do-sada" TargetMode="External"/><Relationship Id="rId20" Type="http://schemas.openxmlformats.org/officeDocument/2006/relationships/hyperlink" Target="https://fren.org.rs/wp-content/uploads/2021/06/Youth-situation-in-Serbia-Employment-skills-and-social-inclusion.pdf" TargetMode="External"/><Relationship Id="rId29" Type="http://schemas.openxmlformats.org/officeDocument/2006/relationships/hyperlink" Target="http://publikacije.stat.gov.rs/G2014/Pdf/G20144011.pdf" TargetMode="External"/><Relationship Id="rId1" Type="http://schemas.openxmlformats.org/officeDocument/2006/relationships/hyperlink" Target="https://tbinternet.ohchr.org/_layouts/15/treatybodyexternal/Download.aspx?symbolno=E%2fC.12%2fSRB%2fRQ%2f3&amp;Lang=en" TargetMode="External"/><Relationship Id="rId6" Type="http://schemas.openxmlformats.org/officeDocument/2006/relationships/hyperlink" Target="https://www.praxis.org.rs/images/praxis_downloads/REPORT_LAW_ON_FREE_LEGAL_AID_THE_FIRST_YEAR.pdf" TargetMode="External"/><Relationship Id="rId11" Type="http://schemas.openxmlformats.org/officeDocument/2006/relationships/hyperlink" Target="https://www.a11initiative.org/wp-content/uploads/2021/12/Report_Ling-Long_ENG.pdf" TargetMode="External"/><Relationship Id="rId24" Type="http://schemas.openxmlformats.org/officeDocument/2006/relationships/hyperlink" Target="https://www.ebrd.com/work-with-us/projects/ipam/2021/01.html" TargetMode="External"/><Relationship Id="rId32" Type="http://schemas.openxmlformats.org/officeDocument/2006/relationships/hyperlink" Target="http://www.zavodsz.gov.rs/media/2159/izvestaj-o-radu-csr-2020.pdf" TargetMode="External"/><Relationship Id="rId5" Type="http://schemas.openxmlformats.org/officeDocument/2006/relationships/hyperlink" Target="https://www.cepris.org/istrazivanja-i-analize/studija-normativna-kontrola-ustavnosti-kao-osnovna-nadleznost-ustavnog-suda-srbije/" TargetMode="External"/><Relationship Id="rId15" Type="http://schemas.openxmlformats.org/officeDocument/2006/relationships/hyperlink" Target="https://www.euronews.rs/srbija/politika/25578/ministarstvo-radnici-iz-vijetnama-koji-su-angazovani-na-gradnji-fabrike-linglong-premesteni-na-drugu-lokaciju/vest" TargetMode="External"/><Relationship Id="rId23" Type="http://schemas.openxmlformats.org/officeDocument/2006/relationships/hyperlink" Target="http://www.zavodsz.gov.rs/media/2163/punoletni-u-sistemu-socijalne-zastite-u-2020.pdf" TargetMode="External"/><Relationship Id="rId28" Type="http://schemas.openxmlformats.org/officeDocument/2006/relationships/hyperlink" Target="https://www.a11initiative.org/wp-content/uploads/2020/06/Second-Class-Rights_Social-Rights-in-the-Light-of-Austerity-Measures-SERBIA-2012-%E2%80%93-2020.pdf" TargetMode="External"/><Relationship Id="rId10" Type="http://schemas.openxmlformats.org/officeDocument/2006/relationships/hyperlink" Target="https://voice.org.rs/vise-od-750-vijetnamaca-i-kineza-u-industrijskoj-zoni-zrenjanin-beznade-nevidljivih/" TargetMode="External"/><Relationship Id="rId19" Type="http://schemas.openxmlformats.org/officeDocument/2006/relationships/hyperlink" Target="https://mojaprvaplata.gov.rs/Dokumenta/JavniPoziv.pdf" TargetMode="External"/><Relationship Id="rId31" Type="http://schemas.openxmlformats.org/officeDocument/2006/relationships/hyperlink" Target="https://digitalna.ff.uns.ac.rs/sadrzaj/2021/978-86-6065-647-8" TargetMode="External"/><Relationship Id="rId4" Type="http://schemas.openxmlformats.org/officeDocument/2006/relationships/hyperlink" Target="https://www.cepris.org/wp-content/uploads/2019/10/CEPRIS-Odnos-Ustavnog-suda-i-sudske-vlasti2.pdf" TargetMode="External"/><Relationship Id="rId9" Type="http://schemas.openxmlformats.org/officeDocument/2006/relationships/hyperlink" Target="https://www.minljmpdd.gov.rs/doc/konsultacije/Polazne-osnove261021.pdf" TargetMode="External"/><Relationship Id="rId14" Type="http://schemas.openxmlformats.org/officeDocument/2006/relationships/hyperlink" Target="https://balkaninsight.com/2021/11/29/documents-reveal-extent-of-exploitation-at-chinese-tire-site-in-serbia/" TargetMode="External"/><Relationship Id="rId22" Type="http://schemas.openxmlformats.org/officeDocument/2006/relationships/hyperlink" Target="http://www.zavodsz.gov.rs/media/2163/punoletni-u-sistemu-socijalne-zastite-u-2020.pdf" TargetMode="External"/><Relationship Id="rId27" Type="http://schemas.openxmlformats.org/officeDocument/2006/relationships/hyperlink" Target="https://www.a11initiative.org/wp-content/uploads/2020/06/Second-Class-Rights_Social-Rights-in-the-Light-of-Austerity-Measures-SERBIA-2012-%E2%80%93-2020.pdf" TargetMode="External"/><Relationship Id="rId30" Type="http://schemas.openxmlformats.org/officeDocument/2006/relationships/hyperlink" Target="https://digitallibrary.un.org/record/831292" TargetMode="External"/><Relationship Id="rId35" Type="http://schemas.openxmlformats.org/officeDocument/2006/relationships/hyperlink" Target="https://www.minrzs.gov.rs/arhiva-internet-prezentacije-2019/files/upravljanje_ljudskim_i_socijalnim_resursima_u_centrima_za_socijalni_rad_u_republici_srbiji.pdf" TargetMode="External"/><Relationship Id="rId8" Type="http://schemas.openxmlformats.org/officeDocument/2006/relationships/hyperlink" Target="https://www.minljmpdd.gov.rs/doc/konsultacije/Izvestaj-sa-Javnih-konsultacija-Strategij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88B5-B05C-49A6-B576-8720CAD846A3}">
  <ds:schemaRefs>
    <ds:schemaRef ds:uri="http://schemas.microsoft.com/sharepoint/v3/contenttype/forms"/>
  </ds:schemaRefs>
</ds:datastoreItem>
</file>

<file path=customXml/itemProps2.xml><?xml version="1.0" encoding="utf-8"?>
<ds:datastoreItem xmlns:ds="http://schemas.openxmlformats.org/officeDocument/2006/customXml" ds:itemID="{1CA4DA18-DEBB-4954-A9D6-3E88F03AC4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AFB5B8-D5A2-4C2D-853F-4CD3DB577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410EC3-A4B4-41B6-9FDD-1AA83889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6599</Words>
  <Characters>37619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Ćurčić</dc:creator>
  <cp:keywords/>
  <dc:description/>
  <cp:lastModifiedBy>Tanja Srećković</cp:lastModifiedBy>
  <cp:revision>3</cp:revision>
  <dcterms:created xsi:type="dcterms:W3CDTF">2022-02-15T11:48:00Z</dcterms:created>
  <dcterms:modified xsi:type="dcterms:W3CDTF">2022-02-23T12:30:00Z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