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3B2F" w14:textId="09282617" w:rsidR="0006044C" w:rsidRPr="00010189" w:rsidRDefault="000011CB" w:rsidP="004D0D52">
      <w:pPr>
        <w:spacing w:line="240" w:lineRule="auto"/>
        <w:jc w:val="both"/>
        <w:rPr>
          <w:b/>
          <w:bCs/>
          <w:sz w:val="25"/>
          <w:szCs w:val="25"/>
        </w:rPr>
      </w:pPr>
      <w:r>
        <w:rPr>
          <w:noProof/>
          <w:lang w:eastAsia="sr-Cyrl-RS"/>
        </w:rPr>
        <w:drawing>
          <wp:inline distT="0" distB="0" distL="0" distR="0" wp14:anchorId="0C79924E" wp14:editId="2EEE81B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r>
        <w:rPr>
          <w:b/>
          <w:bCs/>
          <w:sz w:val="25"/>
          <w:szCs w:val="25"/>
        </w:rPr>
        <w:t>МЕЂУНАРОДНИ ПАКТ О ГРАЂАНСКИМ И ПОЛИТИЧКИМ ПРАВИМА</w:t>
      </w:r>
      <w:r w:rsidR="00053DC8" w:rsidRPr="00010189">
        <w:rPr>
          <w:b/>
          <w:bCs/>
          <w:sz w:val="25"/>
          <w:szCs w:val="25"/>
        </w:rPr>
        <w:tab/>
      </w:r>
    </w:p>
    <w:p w14:paraId="3344B80A" w14:textId="77777777" w:rsidR="00740948" w:rsidRPr="00010189" w:rsidRDefault="00740948" w:rsidP="004D0D52">
      <w:pPr>
        <w:spacing w:line="240" w:lineRule="auto"/>
        <w:jc w:val="both"/>
      </w:pPr>
      <w:r w:rsidRPr="00010189">
        <w:t>Дистрибуција: Општа</w:t>
      </w:r>
    </w:p>
    <w:p w14:paraId="6E552BED" w14:textId="79B9959C" w:rsidR="00740948" w:rsidRPr="00010189" w:rsidRDefault="000011CB" w:rsidP="004D0D52">
      <w:pPr>
        <w:spacing w:line="240" w:lineRule="auto"/>
        <w:jc w:val="both"/>
      </w:pPr>
      <w:r>
        <w:rPr>
          <w:lang w:val="sr-Latn-RS"/>
        </w:rPr>
        <w:t xml:space="preserve">3. </w:t>
      </w:r>
      <w:r>
        <w:t>мај</w:t>
      </w:r>
      <w:r w:rsidR="00740948" w:rsidRPr="00010189">
        <w:t xml:space="preserve"> 2024. године</w:t>
      </w:r>
    </w:p>
    <w:p w14:paraId="384B45FA" w14:textId="54830A33" w:rsidR="00053DC8" w:rsidRPr="00010189" w:rsidRDefault="00740948" w:rsidP="004D0D52">
      <w:pPr>
        <w:spacing w:line="240" w:lineRule="auto"/>
        <w:jc w:val="both"/>
      </w:pPr>
      <w:r w:rsidRPr="00010189">
        <w:t>Језик оригинала: енглески</w:t>
      </w:r>
      <w:r w:rsidR="00053DC8" w:rsidRPr="00010189">
        <w:t xml:space="preserve"> </w:t>
      </w:r>
    </w:p>
    <w:p w14:paraId="17B34641" w14:textId="77777777" w:rsidR="00010189" w:rsidRDefault="00740948" w:rsidP="004D0D52">
      <w:pPr>
        <w:spacing w:line="240" w:lineRule="auto"/>
        <w:jc w:val="both"/>
        <w:rPr>
          <w:b/>
          <w:bCs/>
          <w:sz w:val="25"/>
          <w:szCs w:val="25"/>
        </w:rPr>
      </w:pPr>
      <w:r w:rsidRPr="00010189">
        <w:rPr>
          <w:b/>
          <w:bCs/>
          <w:sz w:val="25"/>
          <w:szCs w:val="25"/>
        </w:rPr>
        <w:t>Комитет за људска права</w:t>
      </w:r>
    </w:p>
    <w:p w14:paraId="518CB42E" w14:textId="3230DDA1" w:rsidR="00053DC8" w:rsidRPr="00010189" w:rsidRDefault="00053DC8" w:rsidP="004D0D52">
      <w:pPr>
        <w:spacing w:line="240" w:lineRule="auto"/>
        <w:jc w:val="both"/>
        <w:rPr>
          <w:b/>
          <w:bCs/>
          <w:sz w:val="25"/>
          <w:szCs w:val="25"/>
        </w:rPr>
      </w:pPr>
      <w:r w:rsidRPr="00010189">
        <w:rPr>
          <w:b/>
          <w:bCs/>
          <w:sz w:val="25"/>
          <w:szCs w:val="25"/>
        </w:rPr>
        <w:t xml:space="preserve"> </w:t>
      </w:r>
    </w:p>
    <w:p w14:paraId="7E698FE0" w14:textId="39D2C636" w:rsidR="00053DC8" w:rsidRPr="00010189" w:rsidRDefault="00740948" w:rsidP="004D0D52">
      <w:pPr>
        <w:pStyle w:val="Heading3"/>
        <w:spacing w:after="160" w:line="240" w:lineRule="auto"/>
        <w:rPr>
          <w:b/>
          <w:bCs/>
          <w:color w:val="auto"/>
        </w:rPr>
      </w:pPr>
      <w:r w:rsidRPr="00010189">
        <w:rPr>
          <w:b/>
          <w:bCs/>
          <w:color w:val="auto"/>
        </w:rPr>
        <w:t>Закључна запажања о четвртом периодичном извештају Србије</w:t>
      </w:r>
      <w:r w:rsidR="00DD0C65" w:rsidRPr="00010189">
        <w:rPr>
          <w:rStyle w:val="FootnoteReference"/>
          <w:b/>
          <w:bCs/>
          <w:color w:val="auto"/>
          <w:sz w:val="30"/>
          <w:szCs w:val="30"/>
        </w:rPr>
        <w:footnoteReference w:customMarkFollows="1" w:id="1"/>
        <w:t>*</w:t>
      </w:r>
    </w:p>
    <w:p w14:paraId="45B46BC1" w14:textId="329C1240" w:rsidR="00053DC8" w:rsidRPr="00010189" w:rsidRDefault="00053DC8" w:rsidP="004D0D52">
      <w:pPr>
        <w:spacing w:line="240" w:lineRule="auto"/>
        <w:ind w:left="708" w:hanging="708"/>
        <w:jc w:val="both"/>
      </w:pPr>
      <w:r w:rsidRPr="00010189">
        <w:t xml:space="preserve">1. </w:t>
      </w:r>
      <w:r w:rsidR="00010189">
        <w:tab/>
      </w:r>
      <w:r w:rsidR="00740948" w:rsidRPr="00010189">
        <w:t>Комитет је разматрао Четврти периодични извештај Србије</w:t>
      </w:r>
      <w:r w:rsidR="0006044C" w:rsidRPr="00010189">
        <w:rPr>
          <w:rStyle w:val="FootnoteReference"/>
        </w:rPr>
        <w:footnoteReference w:id="2"/>
      </w:r>
      <w:r w:rsidRPr="00010189">
        <w:t xml:space="preserve"> </w:t>
      </w:r>
      <w:r w:rsidR="00740948" w:rsidRPr="00010189">
        <w:t>на 4093. и 4094. седници</w:t>
      </w:r>
      <w:r w:rsidRPr="00010189">
        <w:t>,</w:t>
      </w:r>
      <w:r w:rsidR="0006044C" w:rsidRPr="00010189">
        <w:rPr>
          <w:rStyle w:val="FootnoteReference"/>
        </w:rPr>
        <w:footnoteReference w:id="3"/>
      </w:r>
      <w:r w:rsidRPr="00010189">
        <w:t xml:space="preserve"> </w:t>
      </w:r>
      <w:r w:rsidR="00F67605">
        <w:t>одржаним</w:t>
      </w:r>
      <w:r w:rsidR="00740948" w:rsidRPr="00010189">
        <w:t xml:space="preserve"> 14. и 15. марта 2024. године. На 4109. седници, одржаној 26. марта 2024. године, усвојио је ова закључна запажања</w:t>
      </w:r>
      <w:r w:rsidRPr="00010189">
        <w:t xml:space="preserve">. </w:t>
      </w:r>
    </w:p>
    <w:p w14:paraId="6DADA88C" w14:textId="69851008" w:rsidR="00053DC8" w:rsidRPr="00010189" w:rsidRDefault="00053DC8" w:rsidP="004D0D52">
      <w:pPr>
        <w:pStyle w:val="Heading3"/>
        <w:spacing w:after="160" w:line="240" w:lineRule="auto"/>
        <w:jc w:val="both"/>
        <w:rPr>
          <w:b/>
          <w:bCs/>
          <w:color w:val="auto"/>
        </w:rPr>
      </w:pPr>
      <w:r w:rsidRPr="00010189">
        <w:rPr>
          <w:b/>
          <w:bCs/>
          <w:color w:val="auto"/>
        </w:rPr>
        <w:t>A.</w:t>
      </w:r>
      <w:r w:rsidRPr="00010189">
        <w:rPr>
          <w:b/>
          <w:bCs/>
          <w:color w:val="auto"/>
        </w:rPr>
        <w:tab/>
      </w:r>
      <w:r w:rsidR="00740948" w:rsidRPr="00010189">
        <w:rPr>
          <w:b/>
          <w:bCs/>
          <w:color w:val="auto"/>
        </w:rPr>
        <w:t>Увод</w:t>
      </w:r>
    </w:p>
    <w:p w14:paraId="2000F33B" w14:textId="29E8DFEE" w:rsidR="00C6798B" w:rsidRPr="00010189" w:rsidRDefault="00053DC8" w:rsidP="004D0D52">
      <w:pPr>
        <w:spacing w:line="240" w:lineRule="auto"/>
        <w:ind w:left="708" w:hanging="708"/>
        <w:jc w:val="both"/>
      </w:pPr>
      <w:r w:rsidRPr="00010189">
        <w:t xml:space="preserve">2. </w:t>
      </w:r>
      <w:r w:rsidR="00010189">
        <w:tab/>
      </w:r>
      <w:r w:rsidR="00C6798B" w:rsidRPr="00010189">
        <w:t xml:space="preserve">Комитет поздравља достављање четвртог извештаја Србије и информације изнете у њему. Изражава захвалност за прилику да обнови свој конструктивни дијалог са делегацијом </w:t>
      </w:r>
      <w:r w:rsidR="00F67605">
        <w:t>државе чланице на</w:t>
      </w:r>
      <w:r w:rsidR="00C6798B" w:rsidRPr="00010189">
        <w:t xml:space="preserve"> високом нивоу о мерама за спровођење одредби Пакта, предузетим током периода на који се овај извештај односи. Комитет изражава захвалност држави чланици на </w:t>
      </w:r>
      <w:r w:rsidR="00F67605">
        <w:t xml:space="preserve">одговорима на листу додатних </w:t>
      </w:r>
      <w:r w:rsidR="00C6798B" w:rsidRPr="00010189">
        <w:t>питања</w:t>
      </w:r>
      <w:r w:rsidR="000011CB">
        <w:rPr>
          <w:rStyle w:val="FootnoteReference"/>
        </w:rPr>
        <w:footnoteReference w:id="4"/>
      </w:r>
      <w:r w:rsidR="00C6798B" w:rsidRPr="00010189">
        <w:t xml:space="preserve"> </w:t>
      </w:r>
      <w:r w:rsidR="00F67605">
        <w:t xml:space="preserve">достављеним </w:t>
      </w:r>
      <w:r w:rsidR="00F67605" w:rsidRPr="00010189">
        <w:t xml:space="preserve">у </w:t>
      </w:r>
      <w:r w:rsidR="00F67605">
        <w:t>писаној форми</w:t>
      </w:r>
      <w:r w:rsidR="000011CB">
        <w:rPr>
          <w:rStyle w:val="FootnoteReference"/>
        </w:rPr>
        <w:footnoteReference w:id="5"/>
      </w:r>
      <w:r w:rsidR="000011CB">
        <w:t xml:space="preserve">, </w:t>
      </w:r>
      <w:r w:rsidR="00F67605">
        <w:t>допуњеним</w:t>
      </w:r>
      <w:r w:rsidR="00C6798B" w:rsidRPr="00010189">
        <w:t xml:space="preserve"> усменим одговорима делегације, као и </w:t>
      </w:r>
      <w:r w:rsidR="00F67605">
        <w:t xml:space="preserve">на додатним </w:t>
      </w:r>
      <w:r w:rsidR="00C6798B" w:rsidRPr="00010189">
        <w:t xml:space="preserve"> информациј</w:t>
      </w:r>
      <w:r w:rsidR="00F67605">
        <w:t xml:space="preserve">ама датим </w:t>
      </w:r>
      <w:r w:rsidR="00C6798B" w:rsidRPr="00010189">
        <w:t>у писаној форми.</w:t>
      </w:r>
    </w:p>
    <w:p w14:paraId="2710E7C7" w14:textId="283DE942" w:rsidR="00053DC8" w:rsidRPr="00010189" w:rsidRDefault="00C6798B" w:rsidP="004D0D52">
      <w:pPr>
        <w:spacing w:line="240" w:lineRule="auto"/>
        <w:ind w:left="708" w:hanging="708"/>
        <w:jc w:val="both"/>
      </w:pPr>
      <w:r w:rsidRPr="00010189">
        <w:t xml:space="preserve">3. </w:t>
      </w:r>
      <w:r w:rsidR="00010189">
        <w:tab/>
      </w:r>
      <w:r w:rsidRPr="00010189">
        <w:t>Комитет подсећа на своја претходна закључна запажања</w:t>
      </w:r>
      <w:r w:rsidR="000011CB">
        <w:rPr>
          <w:rStyle w:val="FootnoteReference"/>
        </w:rPr>
        <w:footnoteReference w:id="6"/>
      </w:r>
      <w:r w:rsidRPr="00010189">
        <w:t xml:space="preserve"> и </w:t>
      </w:r>
      <w:r w:rsidR="00F67605">
        <w:t>констатује</w:t>
      </w:r>
      <w:r w:rsidR="00571027">
        <w:t xml:space="preserve"> да држава чланица </w:t>
      </w:r>
      <w:r w:rsidR="00D52058">
        <w:t xml:space="preserve">поново </w:t>
      </w:r>
      <w:r w:rsidRPr="00010189">
        <w:t>изјављује да није у могућности да надгледа примену Пакта на Косову</w:t>
      </w:r>
      <w:r w:rsidR="0006044C" w:rsidRPr="00010189">
        <w:rPr>
          <w:rStyle w:val="FootnoteReference"/>
        </w:rPr>
        <w:footnoteReference w:id="7"/>
      </w:r>
      <w:r w:rsidR="00053DC8" w:rsidRPr="00010189">
        <w:t xml:space="preserve"> </w:t>
      </w:r>
      <w:r w:rsidRPr="00010189">
        <w:t xml:space="preserve">због чињенице да, у складу са резолуцијом Савета безбедности 1244 (1999), </w:t>
      </w:r>
      <w:r w:rsidR="00847A72">
        <w:t>управну функцију</w:t>
      </w:r>
      <w:r w:rsidRPr="00010189">
        <w:t xml:space="preserve"> врши Мисија привремене управе Уједињених нација на Косову (УНМИК</w:t>
      </w:r>
      <w:r w:rsidR="00053DC8" w:rsidRPr="00010189">
        <w:t xml:space="preserve">). </w:t>
      </w:r>
    </w:p>
    <w:p w14:paraId="4C7B0116" w14:textId="74BA5DF4" w:rsidR="00053DC8" w:rsidRPr="00010189" w:rsidRDefault="00053DC8" w:rsidP="004D0D52">
      <w:pPr>
        <w:pStyle w:val="Heading3"/>
        <w:spacing w:after="160" w:line="240" w:lineRule="auto"/>
        <w:jc w:val="both"/>
        <w:rPr>
          <w:b/>
          <w:bCs/>
          <w:color w:val="auto"/>
        </w:rPr>
      </w:pPr>
      <w:r w:rsidRPr="00010189">
        <w:rPr>
          <w:b/>
          <w:bCs/>
          <w:color w:val="auto"/>
        </w:rPr>
        <w:t>B.</w:t>
      </w:r>
      <w:r w:rsidRPr="00010189">
        <w:rPr>
          <w:b/>
          <w:bCs/>
          <w:color w:val="auto"/>
        </w:rPr>
        <w:tab/>
      </w:r>
      <w:r w:rsidR="00C6798B" w:rsidRPr="00010189">
        <w:rPr>
          <w:b/>
          <w:bCs/>
          <w:color w:val="auto"/>
        </w:rPr>
        <w:t xml:space="preserve">Позитивни аспекти </w:t>
      </w:r>
    </w:p>
    <w:p w14:paraId="3AF2809A" w14:textId="5A44F87C" w:rsidR="00010189" w:rsidRPr="00010189" w:rsidRDefault="00053DC8" w:rsidP="004D0D52">
      <w:pPr>
        <w:spacing w:line="240" w:lineRule="auto"/>
        <w:ind w:left="708" w:hanging="708"/>
        <w:jc w:val="both"/>
      </w:pPr>
      <w:r w:rsidRPr="00010189">
        <w:t xml:space="preserve">4. </w:t>
      </w:r>
      <w:r w:rsidR="00010189">
        <w:tab/>
      </w:r>
      <w:r w:rsidR="00010189" w:rsidRPr="00010189">
        <w:t>Комитет поздравља усвајање следећих законодавних, политичких и институционалних мера које је држава чланица предузела:</w:t>
      </w:r>
    </w:p>
    <w:p w14:paraId="043C6625" w14:textId="1F8853B8" w:rsidR="00010189" w:rsidRPr="00010189" w:rsidRDefault="00010189" w:rsidP="004D0D52">
      <w:pPr>
        <w:pStyle w:val="ListParagraph"/>
        <w:numPr>
          <w:ilvl w:val="0"/>
          <w:numId w:val="1"/>
        </w:numPr>
        <w:spacing w:line="240" w:lineRule="auto"/>
        <w:jc w:val="both"/>
      </w:pPr>
      <w:r w:rsidRPr="00010189">
        <w:t>Закон о електронским медијима усвојен у октобру 2023. године</w:t>
      </w:r>
    </w:p>
    <w:p w14:paraId="1C2756E3" w14:textId="4757B57F" w:rsidR="00010189" w:rsidRPr="00010189" w:rsidRDefault="00010189" w:rsidP="004D0D52">
      <w:pPr>
        <w:pStyle w:val="ListParagraph"/>
        <w:numPr>
          <w:ilvl w:val="0"/>
          <w:numId w:val="1"/>
        </w:numPr>
        <w:spacing w:line="240" w:lineRule="auto"/>
        <w:jc w:val="both"/>
      </w:pPr>
      <w:r w:rsidRPr="00010189">
        <w:t>Закон о јавном информисању и медијима усвојен у октобру 2023. године</w:t>
      </w:r>
    </w:p>
    <w:p w14:paraId="2C3CF3D8" w14:textId="0ADA9D23" w:rsidR="00010189" w:rsidRPr="00010189" w:rsidRDefault="00010189" w:rsidP="004D0D52">
      <w:pPr>
        <w:pStyle w:val="ListParagraph"/>
        <w:numPr>
          <w:ilvl w:val="0"/>
          <w:numId w:val="1"/>
        </w:numPr>
        <w:spacing w:line="240" w:lineRule="auto"/>
        <w:jc w:val="both"/>
      </w:pPr>
      <w:r w:rsidRPr="00010189">
        <w:t>Закон о Високом савету тужилаштва усвојен у фебруару 2023. године</w:t>
      </w:r>
    </w:p>
    <w:p w14:paraId="396373D8" w14:textId="7FCAEC93" w:rsidR="00010189" w:rsidRPr="00010189" w:rsidRDefault="00010189" w:rsidP="004D0D52">
      <w:pPr>
        <w:pStyle w:val="ListParagraph"/>
        <w:numPr>
          <w:ilvl w:val="0"/>
          <w:numId w:val="1"/>
        </w:numPr>
        <w:spacing w:line="240" w:lineRule="auto"/>
        <w:jc w:val="both"/>
      </w:pPr>
      <w:r w:rsidRPr="00010189">
        <w:t>Закон о јавном тужилаштву усвојен у фебруару 2023. године</w:t>
      </w:r>
    </w:p>
    <w:p w14:paraId="375FFF29" w14:textId="26E2D1B1" w:rsidR="00010189" w:rsidRPr="00010189" w:rsidRDefault="00010189" w:rsidP="004D0D52">
      <w:pPr>
        <w:pStyle w:val="ListParagraph"/>
        <w:numPr>
          <w:ilvl w:val="0"/>
          <w:numId w:val="1"/>
        </w:numPr>
        <w:spacing w:line="240" w:lineRule="auto"/>
        <w:jc w:val="both"/>
      </w:pPr>
      <w:r w:rsidRPr="00010189">
        <w:t>Закон о Високом савету судства усвојен фебруара 2023. године</w:t>
      </w:r>
    </w:p>
    <w:p w14:paraId="78CC8BA0" w14:textId="66934ABD" w:rsidR="00010189" w:rsidRPr="00010189" w:rsidRDefault="00010189" w:rsidP="004D0D52">
      <w:pPr>
        <w:pStyle w:val="ListParagraph"/>
        <w:numPr>
          <w:ilvl w:val="0"/>
          <w:numId w:val="1"/>
        </w:numPr>
        <w:spacing w:line="240" w:lineRule="auto"/>
        <w:jc w:val="both"/>
      </w:pPr>
      <w:r w:rsidRPr="00010189">
        <w:t>Закон о судијама, Закон о уређењу судова усвојен у фебруару 2023. године</w:t>
      </w:r>
    </w:p>
    <w:p w14:paraId="5A15811E" w14:textId="3BA733E4" w:rsidR="00010189" w:rsidRPr="00010189" w:rsidRDefault="00010189" w:rsidP="004D0D52">
      <w:pPr>
        <w:pStyle w:val="ListParagraph"/>
        <w:numPr>
          <w:ilvl w:val="0"/>
          <w:numId w:val="1"/>
        </w:numPr>
        <w:spacing w:line="240" w:lineRule="auto"/>
        <w:jc w:val="both"/>
      </w:pPr>
      <w:r w:rsidRPr="00010189">
        <w:t>Закон о Заштитнику грађана усвојен у новембру 2021. године</w:t>
      </w:r>
    </w:p>
    <w:p w14:paraId="06074FD1" w14:textId="6E7E7F35" w:rsidR="00010189" w:rsidRPr="00010189" w:rsidRDefault="00847A72" w:rsidP="004D0D52">
      <w:pPr>
        <w:pStyle w:val="ListParagraph"/>
        <w:numPr>
          <w:ilvl w:val="0"/>
          <w:numId w:val="1"/>
        </w:numPr>
        <w:spacing w:line="240" w:lineRule="auto"/>
        <w:jc w:val="both"/>
      </w:pPr>
      <w:r>
        <w:lastRenderedPageBreak/>
        <w:t>Закон о измене и допунама</w:t>
      </w:r>
      <w:r w:rsidR="00010189" w:rsidRPr="00010189">
        <w:t xml:space="preserve"> Закона о забрани дискриминације усвојене у мају 2021.</w:t>
      </w:r>
    </w:p>
    <w:p w14:paraId="618DB853" w14:textId="4673D6D1" w:rsidR="00010189" w:rsidRPr="00010189" w:rsidRDefault="00010189" w:rsidP="004D0D52">
      <w:pPr>
        <w:pStyle w:val="ListParagraph"/>
        <w:numPr>
          <w:ilvl w:val="0"/>
          <w:numId w:val="1"/>
        </w:numPr>
        <w:spacing w:line="240" w:lineRule="auto"/>
        <w:jc w:val="both"/>
      </w:pPr>
      <w:r w:rsidRPr="00010189">
        <w:t>Закон о родној равноправности усвојен 2021. године</w:t>
      </w:r>
    </w:p>
    <w:p w14:paraId="14E53939" w14:textId="6504D947" w:rsidR="00010189" w:rsidRPr="00010189" w:rsidRDefault="00010189" w:rsidP="004D0D52">
      <w:pPr>
        <w:pStyle w:val="ListParagraph"/>
        <w:numPr>
          <w:ilvl w:val="0"/>
          <w:numId w:val="1"/>
        </w:numPr>
        <w:spacing w:line="240" w:lineRule="auto"/>
        <w:jc w:val="both"/>
      </w:pPr>
      <w:r w:rsidRPr="00010189">
        <w:t>Закон о спречавању корупције усвојен 2019. године</w:t>
      </w:r>
    </w:p>
    <w:p w14:paraId="38D0F6DB" w14:textId="06107255" w:rsidR="00010189" w:rsidRPr="00010189" w:rsidRDefault="00010189" w:rsidP="004D0D52">
      <w:pPr>
        <w:pStyle w:val="ListParagraph"/>
        <w:numPr>
          <w:ilvl w:val="0"/>
          <w:numId w:val="1"/>
        </w:numPr>
        <w:spacing w:line="240" w:lineRule="auto"/>
        <w:jc w:val="both"/>
      </w:pPr>
      <w:r w:rsidRPr="00010189">
        <w:t>Закон о јавним набавкама усвојен 2019. године</w:t>
      </w:r>
    </w:p>
    <w:p w14:paraId="439AFD69" w14:textId="3FFECBD2" w:rsidR="00010189" w:rsidRPr="00010189" w:rsidRDefault="00010189" w:rsidP="004D0D52">
      <w:pPr>
        <w:pStyle w:val="ListParagraph"/>
        <w:numPr>
          <w:ilvl w:val="0"/>
          <w:numId w:val="1"/>
        </w:numPr>
        <w:spacing w:line="240" w:lineRule="auto"/>
        <w:jc w:val="both"/>
      </w:pPr>
      <w:r w:rsidRPr="00010189">
        <w:t>Закон о бесплатној правној помоћи усвојен 2018. године</w:t>
      </w:r>
    </w:p>
    <w:p w14:paraId="2BF8746C" w14:textId="2CDDFFD2" w:rsidR="00010189" w:rsidRPr="00010189" w:rsidRDefault="00010189" w:rsidP="004D0D52">
      <w:pPr>
        <w:pStyle w:val="ListParagraph"/>
        <w:numPr>
          <w:ilvl w:val="0"/>
          <w:numId w:val="1"/>
        </w:numPr>
        <w:spacing w:line="240" w:lineRule="auto"/>
        <w:jc w:val="both"/>
      </w:pPr>
      <w:r w:rsidRPr="00010189">
        <w:t xml:space="preserve">Национална стратегија за процесуирање ратних злочина, за период од 2021. до 2026. године, усвојена у октобру 2021. </w:t>
      </w:r>
    </w:p>
    <w:p w14:paraId="75970D73" w14:textId="24F77826" w:rsidR="00010189" w:rsidRPr="00010189" w:rsidRDefault="00847A72" w:rsidP="004D0D52">
      <w:pPr>
        <w:pStyle w:val="ListParagraph"/>
        <w:numPr>
          <w:ilvl w:val="0"/>
          <w:numId w:val="1"/>
        </w:numPr>
        <w:spacing w:line="240" w:lineRule="auto"/>
        <w:jc w:val="both"/>
      </w:pPr>
      <w:r>
        <w:t>С</w:t>
      </w:r>
      <w:r w:rsidR="00010189" w:rsidRPr="00010189">
        <w:t>тратегија за спречавање и борбу против родно заснованог насиља према женама и насиља у породици за период од 2021. до 2025. године, усвојена у априлу 2021.</w:t>
      </w:r>
    </w:p>
    <w:p w14:paraId="09CC0E60" w14:textId="7500A469" w:rsidR="00010189" w:rsidRPr="00010189" w:rsidRDefault="00847A72" w:rsidP="004D0D52">
      <w:pPr>
        <w:pStyle w:val="ListParagraph"/>
        <w:numPr>
          <w:ilvl w:val="0"/>
          <w:numId w:val="1"/>
        </w:numPr>
        <w:spacing w:line="240" w:lineRule="auto"/>
        <w:jc w:val="both"/>
      </w:pPr>
      <w:r>
        <w:t>С</w:t>
      </w:r>
      <w:r w:rsidR="00010189" w:rsidRPr="00010189">
        <w:t xml:space="preserve">тратегија </w:t>
      </w:r>
      <w:r>
        <w:t xml:space="preserve">за </w:t>
      </w:r>
      <w:r w:rsidR="00010189" w:rsidRPr="00010189">
        <w:t>превенцију и заштиту деце од насиља за период од 2020. до 2023. године, усвојена у мају 2020.</w:t>
      </w:r>
    </w:p>
    <w:p w14:paraId="7DE869EE" w14:textId="23DA53C2" w:rsidR="00010189" w:rsidRPr="00010189" w:rsidRDefault="00010189" w:rsidP="004D0D52">
      <w:pPr>
        <w:pStyle w:val="ListParagraph"/>
        <w:numPr>
          <w:ilvl w:val="0"/>
          <w:numId w:val="1"/>
        </w:numPr>
        <w:spacing w:line="240" w:lineRule="auto"/>
        <w:jc w:val="both"/>
      </w:pPr>
      <w:r w:rsidRPr="00010189">
        <w:t>Национална стратегија за остваривање права жртава и сведока кривичних дела за период од 2020. до 2023. године, усвојена у јулу 2020. године.</w:t>
      </w:r>
    </w:p>
    <w:p w14:paraId="2FB52823" w14:textId="1AD97521" w:rsidR="00053DC8" w:rsidRPr="00010189" w:rsidRDefault="00010189" w:rsidP="004D0D52">
      <w:pPr>
        <w:spacing w:line="240" w:lineRule="auto"/>
        <w:ind w:left="708" w:hanging="708"/>
        <w:jc w:val="both"/>
      </w:pPr>
      <w:r w:rsidRPr="00010189">
        <w:t xml:space="preserve">5. </w:t>
      </w:r>
      <w:r>
        <w:tab/>
      </w:r>
      <w:r w:rsidRPr="00010189">
        <w:t>Комитет поздравља ратификацију Опционог протокола уз Међународни пакт о економским, социјалним и културним правима, у септембру 2023. године.</w:t>
      </w:r>
    </w:p>
    <w:p w14:paraId="2C1A787C" w14:textId="1C2AD994" w:rsidR="00053DC8" w:rsidRPr="00010189" w:rsidRDefault="00053DC8" w:rsidP="004D0D52">
      <w:pPr>
        <w:pStyle w:val="Heading3"/>
        <w:spacing w:after="160" w:line="240" w:lineRule="auto"/>
        <w:jc w:val="both"/>
        <w:rPr>
          <w:b/>
          <w:bCs/>
          <w:color w:val="auto"/>
        </w:rPr>
      </w:pPr>
      <w:r w:rsidRPr="00010189">
        <w:rPr>
          <w:b/>
          <w:bCs/>
          <w:color w:val="auto"/>
        </w:rPr>
        <w:t xml:space="preserve">C. </w:t>
      </w:r>
      <w:r w:rsidRPr="00010189">
        <w:rPr>
          <w:b/>
          <w:bCs/>
          <w:color w:val="auto"/>
        </w:rPr>
        <w:tab/>
      </w:r>
      <w:r w:rsidR="00C6798B" w:rsidRPr="00010189">
        <w:rPr>
          <w:b/>
          <w:bCs/>
          <w:color w:val="auto"/>
        </w:rPr>
        <w:t xml:space="preserve">Главна питања од значаја и препоруке </w:t>
      </w:r>
      <w:r w:rsidRPr="00010189">
        <w:rPr>
          <w:b/>
          <w:bCs/>
          <w:color w:val="auto"/>
        </w:rPr>
        <w:t xml:space="preserve"> </w:t>
      </w:r>
    </w:p>
    <w:p w14:paraId="4F882F97" w14:textId="24A8FA15" w:rsidR="00053DC8" w:rsidRPr="00010189" w:rsidRDefault="00010189" w:rsidP="004D0D52">
      <w:pPr>
        <w:spacing w:line="240" w:lineRule="auto"/>
        <w:jc w:val="both"/>
        <w:rPr>
          <w:b/>
          <w:bCs/>
        </w:rPr>
      </w:pPr>
      <w:r w:rsidRPr="00010189">
        <w:rPr>
          <w:b/>
          <w:bCs/>
        </w:rPr>
        <w:t>Спровођење препорука и ставова Комитета</w:t>
      </w:r>
      <w:r w:rsidR="00053DC8" w:rsidRPr="00010189">
        <w:rPr>
          <w:b/>
          <w:bCs/>
        </w:rPr>
        <w:t xml:space="preserve"> </w:t>
      </w:r>
    </w:p>
    <w:p w14:paraId="6F93A7AF" w14:textId="6A47BBB7" w:rsidR="00D4114B" w:rsidRPr="00D4114B" w:rsidRDefault="00D4114B" w:rsidP="004D0D52">
      <w:pPr>
        <w:spacing w:line="240" w:lineRule="auto"/>
        <w:ind w:left="708" w:hanging="708"/>
        <w:jc w:val="both"/>
      </w:pPr>
      <w:r w:rsidRPr="00D4114B">
        <w:t xml:space="preserve">6. </w:t>
      </w:r>
      <w:r w:rsidR="002F02B9">
        <w:tab/>
      </w:r>
      <w:r w:rsidRPr="00D4114B">
        <w:t xml:space="preserve">Поздрављајући </w:t>
      </w:r>
      <w:r w:rsidR="00847A72">
        <w:t>најаву</w:t>
      </w:r>
      <w:r w:rsidRPr="00D4114B">
        <w:t xml:space="preserve"> државе чланице да планира да успостави посебан механизам за праћење спровођења ставова које су издала уговорна тела УН, Комитет је и даље забринут што тренутно не постоји механизам који се односи на примену његових ставова </w:t>
      </w:r>
      <w:r w:rsidR="00847A72">
        <w:t>у вези са индивидуалним представкама грађана</w:t>
      </w:r>
      <w:r w:rsidRPr="00D4114B">
        <w:t xml:space="preserve"> (чл. 2).</w:t>
      </w:r>
    </w:p>
    <w:p w14:paraId="0E94CDA1" w14:textId="10F1AD67" w:rsidR="00D4114B" w:rsidRPr="00D4114B" w:rsidRDefault="00D4114B" w:rsidP="004D0D52">
      <w:pPr>
        <w:spacing w:line="240" w:lineRule="auto"/>
        <w:ind w:left="708" w:hanging="708"/>
        <w:jc w:val="both"/>
        <w:rPr>
          <w:b/>
          <w:bCs/>
        </w:rPr>
      </w:pPr>
      <w:r w:rsidRPr="00D4114B">
        <w:rPr>
          <w:b/>
          <w:bCs/>
        </w:rPr>
        <w:t xml:space="preserve">7. </w:t>
      </w:r>
      <w:r w:rsidR="002F02B9" w:rsidRPr="002F02B9">
        <w:rPr>
          <w:b/>
          <w:bCs/>
        </w:rPr>
        <w:tab/>
      </w:r>
      <w:r w:rsidRPr="00D4114B">
        <w:rPr>
          <w:b/>
          <w:bCs/>
        </w:rPr>
        <w:t xml:space="preserve">Држава чланица треба да убрза успостављање посебног механизма за праћење спровођења ставова </w:t>
      </w:r>
      <w:r w:rsidR="00847A72">
        <w:rPr>
          <w:b/>
          <w:bCs/>
        </w:rPr>
        <w:t>која су заузела</w:t>
      </w:r>
      <w:r w:rsidRPr="00D4114B">
        <w:rPr>
          <w:b/>
          <w:bCs/>
        </w:rPr>
        <w:t xml:space="preserve"> уговорна тела УН</w:t>
      </w:r>
      <w:r w:rsidR="00847A72">
        <w:rPr>
          <w:b/>
          <w:bCs/>
        </w:rPr>
        <w:t xml:space="preserve"> током разматрања индивидуалних представки грађана</w:t>
      </w:r>
      <w:r w:rsidRPr="00D4114B">
        <w:rPr>
          <w:b/>
          <w:bCs/>
        </w:rPr>
        <w:t xml:space="preserve"> и да обезбеди да се ставови Комитета систематски шире и примењују.</w:t>
      </w:r>
    </w:p>
    <w:p w14:paraId="7DA14013" w14:textId="77777777" w:rsidR="00D4114B" w:rsidRPr="00D4114B" w:rsidRDefault="00D4114B" w:rsidP="004D0D52">
      <w:pPr>
        <w:spacing w:line="240" w:lineRule="auto"/>
        <w:jc w:val="both"/>
        <w:rPr>
          <w:b/>
          <w:bCs/>
        </w:rPr>
      </w:pPr>
      <w:r w:rsidRPr="00D4114B">
        <w:rPr>
          <w:b/>
          <w:bCs/>
        </w:rPr>
        <w:t>Национална институција за људска права</w:t>
      </w:r>
    </w:p>
    <w:p w14:paraId="2E2407A6" w14:textId="727B6D57" w:rsidR="00D4114B" w:rsidRPr="00D4114B" w:rsidRDefault="00D4114B" w:rsidP="004D0D52">
      <w:pPr>
        <w:spacing w:line="240" w:lineRule="auto"/>
        <w:ind w:left="708" w:hanging="708"/>
        <w:jc w:val="both"/>
      </w:pPr>
      <w:r w:rsidRPr="00D4114B">
        <w:t xml:space="preserve">8. </w:t>
      </w:r>
      <w:r w:rsidR="002F02B9">
        <w:tab/>
      </w:r>
      <w:r w:rsidRPr="00D4114B">
        <w:t xml:space="preserve">Поздрављајући усвајање Закона о Заштитнику грађана у новембру 2021. године, укључујући мере за успостављање јасног и транспарентног процеса за именовање Заштитника грађана, Комитет жали због недостатка информација које је држава чланица доставила о мерама предузетим да успоставити јасан, транспарентан и партиципативан процес избора и именовања чланова </w:t>
      </w:r>
      <w:r w:rsidR="00847A72">
        <w:t>Стручне службе</w:t>
      </w:r>
      <w:r w:rsidRPr="00D4114B">
        <w:t xml:space="preserve"> Заштитника грађана. (чл. 2). </w:t>
      </w:r>
    </w:p>
    <w:p w14:paraId="374630C4" w14:textId="6C86BF07" w:rsidR="00D4114B" w:rsidRPr="00D4114B" w:rsidRDefault="00D4114B" w:rsidP="004D0D52">
      <w:pPr>
        <w:spacing w:line="240" w:lineRule="auto"/>
        <w:ind w:left="708" w:hanging="708"/>
        <w:jc w:val="both"/>
        <w:rPr>
          <w:b/>
          <w:bCs/>
        </w:rPr>
      </w:pPr>
      <w:r w:rsidRPr="00D4114B">
        <w:t xml:space="preserve">9. </w:t>
      </w:r>
      <w:r w:rsidR="002F02B9">
        <w:tab/>
      </w:r>
      <w:r w:rsidR="00847A72">
        <w:rPr>
          <w:b/>
          <w:bCs/>
        </w:rPr>
        <w:t>Релевантним законским и подзаконским про</w:t>
      </w:r>
      <w:r w:rsidRPr="00D4114B">
        <w:rPr>
          <w:b/>
          <w:bCs/>
        </w:rPr>
        <w:t>писима или обавезујући</w:t>
      </w:r>
      <w:r w:rsidR="00291B31">
        <w:rPr>
          <w:b/>
          <w:bCs/>
        </w:rPr>
        <w:t>м смерницама, д</w:t>
      </w:r>
      <w:r w:rsidRPr="00D4114B">
        <w:rPr>
          <w:b/>
          <w:bCs/>
        </w:rPr>
        <w:t xml:space="preserve">ржава чланица треба да успостави јасан, транспарентан и партиципативан процес избора и именовања чланова </w:t>
      </w:r>
      <w:r w:rsidR="00291B31">
        <w:rPr>
          <w:b/>
          <w:bCs/>
        </w:rPr>
        <w:t xml:space="preserve">Стручне службе </w:t>
      </w:r>
      <w:r w:rsidRPr="00D4114B">
        <w:rPr>
          <w:b/>
          <w:bCs/>
        </w:rPr>
        <w:t>Заштитника грађана, укључујући промовисање учеш</w:t>
      </w:r>
      <w:r w:rsidR="00571027">
        <w:rPr>
          <w:b/>
          <w:bCs/>
        </w:rPr>
        <w:t>ћа кандидата из широког спектра</w:t>
      </w:r>
      <w:r w:rsidRPr="00D4114B">
        <w:rPr>
          <w:b/>
          <w:bCs/>
        </w:rPr>
        <w:t xml:space="preserve"> друштвених група.</w:t>
      </w:r>
    </w:p>
    <w:p w14:paraId="1AC9914B" w14:textId="77777777" w:rsidR="00D4114B" w:rsidRPr="00D4114B" w:rsidRDefault="00D4114B" w:rsidP="004D0D52">
      <w:pPr>
        <w:spacing w:line="240" w:lineRule="auto"/>
        <w:jc w:val="both"/>
        <w:rPr>
          <w:b/>
          <w:bCs/>
        </w:rPr>
      </w:pPr>
      <w:r w:rsidRPr="00D4114B">
        <w:rPr>
          <w:b/>
          <w:bCs/>
        </w:rPr>
        <w:t xml:space="preserve">Антикорупцијске мере </w:t>
      </w:r>
    </w:p>
    <w:p w14:paraId="41D7A5AA" w14:textId="79BC9A9E" w:rsidR="00D4114B" w:rsidRPr="00D4114B" w:rsidRDefault="00D4114B" w:rsidP="004D0D52">
      <w:pPr>
        <w:spacing w:line="240" w:lineRule="auto"/>
        <w:ind w:left="708" w:hanging="708"/>
        <w:jc w:val="both"/>
      </w:pPr>
      <w:r w:rsidRPr="00D4114B">
        <w:t xml:space="preserve">10. </w:t>
      </w:r>
      <w:r w:rsidR="002F02B9">
        <w:tab/>
      </w:r>
      <w:r w:rsidRPr="00D4114B">
        <w:t xml:space="preserve">Уз констатацију </w:t>
      </w:r>
      <w:r w:rsidR="002034A5">
        <w:t xml:space="preserve">потпуно успостављеног </w:t>
      </w:r>
      <w:r w:rsidRPr="00D4114B">
        <w:t xml:space="preserve">законодавног оквира за борбу против корупције, укључујући Закон о јавним набавкама и Закон о спречавању корупције, као и мандат и буџет који су додељени Агенцији за спречавање корупције, Комитет је забринут због информације коју је држава чланица доставила, у којој се наводи да Агенција није попунила преко 40% радних места предвиђених систематизацијом, и жали због недостатка информација о механизмима који имају за циљ гарантовање независности Агенције. Узимајући у обзир статистичке податке о притужбама, истрагама, кривичном гоњењу и осудама за корупцију током извештајног периода, Комитет је забринут због недостатка информација о случајевима корупције од стране високих </w:t>
      </w:r>
      <w:r w:rsidR="002034A5">
        <w:t xml:space="preserve">државних </w:t>
      </w:r>
      <w:r w:rsidR="002034A5">
        <w:lastRenderedPageBreak/>
        <w:t>функционера и политичара</w:t>
      </w:r>
      <w:r w:rsidRPr="00D4114B">
        <w:t>, као и извештаја који указују на то да су ретке осуде у случајевима на високом нивоу (чл. 2 и 25).</w:t>
      </w:r>
    </w:p>
    <w:p w14:paraId="08FB462D" w14:textId="443AC815" w:rsidR="00D4114B" w:rsidRPr="00D4114B" w:rsidRDefault="00D4114B" w:rsidP="004D0D52">
      <w:pPr>
        <w:spacing w:line="240" w:lineRule="auto"/>
        <w:ind w:left="708" w:hanging="708"/>
        <w:jc w:val="both"/>
        <w:rPr>
          <w:b/>
          <w:bCs/>
        </w:rPr>
      </w:pPr>
      <w:r w:rsidRPr="00D4114B">
        <w:t xml:space="preserve">11. </w:t>
      </w:r>
      <w:r w:rsidR="002F02B9">
        <w:tab/>
      </w:r>
      <w:r w:rsidRPr="00D4114B">
        <w:rPr>
          <w:b/>
          <w:bCs/>
        </w:rPr>
        <w:t xml:space="preserve">Држава чланица треба да ојача спровођење свог правног оквира за борбу против корупције предузимањем одговарајућих мера за подршку истрази и кривичном гоњењу свих случајева корупције, посебно високих </w:t>
      </w:r>
      <w:r w:rsidR="002034A5">
        <w:rPr>
          <w:b/>
          <w:bCs/>
        </w:rPr>
        <w:t>државних функционера</w:t>
      </w:r>
      <w:r w:rsidRPr="00D4114B">
        <w:rPr>
          <w:b/>
          <w:bCs/>
        </w:rPr>
        <w:t xml:space="preserve"> и политичара, укључујући јачање </w:t>
      </w:r>
      <w:r w:rsidR="002034A5">
        <w:rPr>
          <w:b/>
          <w:bCs/>
        </w:rPr>
        <w:t>надлежности</w:t>
      </w:r>
      <w:r w:rsidRPr="00D4114B">
        <w:rPr>
          <w:b/>
          <w:bCs/>
        </w:rPr>
        <w:t xml:space="preserve">, </w:t>
      </w:r>
      <w:r w:rsidR="002034A5">
        <w:rPr>
          <w:b/>
          <w:bCs/>
        </w:rPr>
        <w:t>кадровске попуњености</w:t>
      </w:r>
      <w:r w:rsidRPr="00D4114B">
        <w:rPr>
          <w:b/>
          <w:bCs/>
        </w:rPr>
        <w:t xml:space="preserve"> и независност</w:t>
      </w:r>
      <w:r w:rsidR="002034A5">
        <w:rPr>
          <w:b/>
          <w:bCs/>
        </w:rPr>
        <w:t>и</w:t>
      </w:r>
      <w:r w:rsidRPr="00D4114B">
        <w:rPr>
          <w:b/>
          <w:bCs/>
        </w:rPr>
        <w:t xml:space="preserve"> Агенције за спречавање корупције и других релевантних субјеката, обезбеђујући примену услова транспарентности у поступцима јавних набавки и гарантујући ефикасну заштиту узбуњивача. Штавише, требало би да обезбеди да уколико </w:t>
      </w:r>
      <w:r w:rsidR="002034A5">
        <w:rPr>
          <w:b/>
          <w:bCs/>
        </w:rPr>
        <w:t>високии државни функцинер</w:t>
      </w:r>
      <w:r w:rsidRPr="00D4114B">
        <w:rPr>
          <w:b/>
          <w:bCs/>
        </w:rPr>
        <w:t xml:space="preserve"> буде проглашен кривим за корупцију, он буде санкционисан сразмерно тежини кривичног дела.</w:t>
      </w:r>
    </w:p>
    <w:p w14:paraId="2ABFD08A" w14:textId="77777777" w:rsidR="00D4114B" w:rsidRPr="00D4114B" w:rsidRDefault="00D4114B" w:rsidP="004D0D52">
      <w:pPr>
        <w:spacing w:line="240" w:lineRule="auto"/>
        <w:jc w:val="both"/>
        <w:rPr>
          <w:b/>
          <w:bCs/>
        </w:rPr>
      </w:pPr>
      <w:r w:rsidRPr="00D4114B">
        <w:rPr>
          <w:b/>
          <w:bCs/>
        </w:rPr>
        <w:t>Антидискриминациони оквир</w:t>
      </w:r>
    </w:p>
    <w:p w14:paraId="1BB00DB6" w14:textId="48AE9DEF" w:rsidR="00D4114B" w:rsidRPr="00D4114B" w:rsidRDefault="00D4114B" w:rsidP="004D0D52">
      <w:pPr>
        <w:spacing w:line="240" w:lineRule="auto"/>
        <w:ind w:left="708" w:hanging="708"/>
        <w:jc w:val="both"/>
      </w:pPr>
      <w:r w:rsidRPr="00D4114B">
        <w:t xml:space="preserve">12. </w:t>
      </w:r>
      <w:r w:rsidR="002F02B9">
        <w:tab/>
      </w:r>
      <w:r w:rsidRPr="00D4114B">
        <w:t xml:space="preserve">Поздрављајући мере које је држава чланица предузела да ојача свој законодавни и стратешки оквир у погледу дискриминације, укључујући измене и допуне Закона о забрани дискриминације, усвојене у мају 2021. године и усвајање Стратегије за превенцију и заштиту од дискриминације за период од 2022. до 2030. године, Комитет жали што статистички подаци које је држава чланица доставила о притужбама на </w:t>
      </w:r>
      <w:r w:rsidRPr="00EF5407">
        <w:rPr>
          <w:rFonts w:cstheme="minorHAnsi"/>
        </w:rPr>
        <w:t>дискриминацију</w:t>
      </w:r>
      <w:r w:rsidR="00EF5407" w:rsidRPr="00EF5407">
        <w:rPr>
          <w:rFonts w:cstheme="minorHAnsi"/>
          <w:sz w:val="24"/>
          <w:szCs w:val="24"/>
        </w:rPr>
        <w:t xml:space="preserve"> притужбама на дискриминацију пред домаћим судовима нису били довољно разврстани и утисак је да су одраз</w:t>
      </w:r>
      <w:r w:rsidR="00EF5407" w:rsidRPr="00EF5407">
        <w:rPr>
          <w:rFonts w:cstheme="minorHAnsi"/>
          <w:sz w:val="24"/>
          <w:szCs w:val="24"/>
          <w:lang w:val="sr-Latn-RS"/>
        </w:rPr>
        <w:t xml:space="preserve"> </w:t>
      </w:r>
      <w:r w:rsidR="00EF5407" w:rsidRPr="00EF5407">
        <w:rPr>
          <w:rFonts w:cstheme="minorHAnsi"/>
          <w:sz w:val="24"/>
          <w:szCs w:val="24"/>
        </w:rPr>
        <w:t>малог броја осуда за дискриминацију.</w:t>
      </w:r>
      <w:r w:rsidR="00EF5407">
        <w:t xml:space="preserve"> </w:t>
      </w:r>
      <w:r w:rsidRPr="00D4114B">
        <w:t>Комитет даље жали што подаци достављени о притужбама упућеним Поверенику за заштиту равноправности нису дали информације о њиховим исходима, као и да нису дате информације о обештећењу жртава, ни судским путем, ни преко Повереника (чл. 2 и чл. 26).</w:t>
      </w:r>
    </w:p>
    <w:p w14:paraId="4C0AAED9" w14:textId="02A31FCF" w:rsidR="00D4114B" w:rsidRPr="00D4114B" w:rsidRDefault="00D4114B" w:rsidP="004D0D52">
      <w:pPr>
        <w:spacing w:line="240" w:lineRule="auto"/>
        <w:ind w:left="708" w:hanging="708"/>
        <w:jc w:val="both"/>
        <w:rPr>
          <w:b/>
          <w:bCs/>
        </w:rPr>
      </w:pPr>
      <w:r w:rsidRPr="00D4114B">
        <w:rPr>
          <w:b/>
          <w:bCs/>
        </w:rPr>
        <w:t>13.</w:t>
      </w:r>
      <w:r w:rsidR="002F02B9" w:rsidRPr="002F02B9">
        <w:rPr>
          <w:b/>
          <w:bCs/>
        </w:rPr>
        <w:tab/>
      </w:r>
      <w:r w:rsidRPr="00D4114B">
        <w:rPr>
          <w:b/>
          <w:bCs/>
        </w:rPr>
        <w:t xml:space="preserve">Држава чланица треба да предузме одговарајуће мере за јачање имплементације, праћења и спровођења </w:t>
      </w:r>
      <w:r w:rsidR="002034A5">
        <w:rPr>
          <w:b/>
          <w:bCs/>
        </w:rPr>
        <w:t xml:space="preserve">успостављеног </w:t>
      </w:r>
      <w:r w:rsidRPr="00D4114B">
        <w:rPr>
          <w:b/>
          <w:bCs/>
        </w:rPr>
        <w:t>антидискримин</w:t>
      </w:r>
      <w:r w:rsidR="002034A5">
        <w:rPr>
          <w:b/>
          <w:bCs/>
        </w:rPr>
        <w:t>ативног</w:t>
      </w:r>
      <w:r w:rsidRPr="00D4114B">
        <w:rPr>
          <w:b/>
          <w:bCs/>
        </w:rPr>
        <w:t xml:space="preserve"> правног и политичког оквира, укључујући обезбеђивање прикупљања потпуно </w:t>
      </w:r>
      <w:r w:rsidR="002034A5">
        <w:rPr>
          <w:b/>
          <w:bCs/>
        </w:rPr>
        <w:t>разврстаних</w:t>
      </w:r>
      <w:r w:rsidRPr="00D4114B">
        <w:rPr>
          <w:b/>
          <w:bCs/>
        </w:rPr>
        <w:t xml:space="preserve"> података о </w:t>
      </w:r>
      <w:r w:rsidR="002034A5">
        <w:rPr>
          <w:b/>
          <w:bCs/>
        </w:rPr>
        <w:t>поднетим притужбама</w:t>
      </w:r>
      <w:r w:rsidRPr="00D4114B">
        <w:rPr>
          <w:b/>
          <w:bCs/>
        </w:rPr>
        <w:t xml:space="preserve"> </w:t>
      </w:r>
      <w:r w:rsidR="002034A5">
        <w:rPr>
          <w:b/>
          <w:bCs/>
        </w:rPr>
        <w:t>због</w:t>
      </w:r>
      <w:r w:rsidRPr="00D4114B">
        <w:rPr>
          <w:b/>
          <w:bCs/>
        </w:rPr>
        <w:t xml:space="preserve"> дискриминациј</w:t>
      </w:r>
      <w:r w:rsidR="002034A5">
        <w:rPr>
          <w:b/>
          <w:bCs/>
        </w:rPr>
        <w:t>е</w:t>
      </w:r>
      <w:r w:rsidRPr="00D4114B">
        <w:rPr>
          <w:b/>
          <w:bCs/>
        </w:rPr>
        <w:t xml:space="preserve"> и њиховим исходима.</w:t>
      </w:r>
    </w:p>
    <w:p w14:paraId="50E2895B" w14:textId="77777777" w:rsidR="00D4114B" w:rsidRPr="00D4114B" w:rsidRDefault="00D4114B" w:rsidP="004D0D52">
      <w:pPr>
        <w:spacing w:line="240" w:lineRule="auto"/>
        <w:jc w:val="both"/>
        <w:rPr>
          <w:b/>
          <w:bCs/>
        </w:rPr>
      </w:pPr>
      <w:r w:rsidRPr="00D4114B">
        <w:rPr>
          <w:b/>
          <w:bCs/>
        </w:rPr>
        <w:t>Злочини из мржње</w:t>
      </w:r>
    </w:p>
    <w:p w14:paraId="1DBC4FB0" w14:textId="0480AA4C" w:rsidR="00D4114B" w:rsidRPr="00D4114B" w:rsidRDefault="00D4114B" w:rsidP="004D0D52">
      <w:pPr>
        <w:spacing w:line="240" w:lineRule="auto"/>
        <w:ind w:left="708" w:hanging="708"/>
        <w:jc w:val="both"/>
      </w:pPr>
      <w:r w:rsidRPr="00D4114B">
        <w:t xml:space="preserve">14. </w:t>
      </w:r>
      <w:r w:rsidR="002F02B9">
        <w:tab/>
      </w:r>
      <w:r w:rsidR="002034A5">
        <w:t xml:space="preserve">Уважавајући кораке </w:t>
      </w:r>
      <w:r w:rsidRPr="00D4114B">
        <w:t xml:space="preserve"> које је држава чланица предузела да ојача свој законодавни и судски одговор на злочине из мржње, укључујући примену члана 54а Кривичног законика који предвиђа да се мотиви мржње сматрају отежавајућом околношћу, као и укључивање одредби о говору мржње у Кодексу понашања посланика усвојеном 2020. године, Комитет је забринут због континуиране распрострањености говора мржње у јавном дискурсу, како на интернету, тако и у традиционалним медијима, укључујући политичаре и високе званичнике, посебно према новинарима, Ромима и другим етничким или националним мањинама, </w:t>
      </w:r>
      <w:r w:rsidR="00A46C73">
        <w:t>као и лезбејкама, хомосексуалцима</w:t>
      </w:r>
      <w:r w:rsidRPr="00D4114B">
        <w:t>, бисексуалним, трансродним и интерсексуалним особама (чл. 2, 20 и 26).</w:t>
      </w:r>
    </w:p>
    <w:p w14:paraId="5C49CE6E" w14:textId="7E53FBDE" w:rsidR="00D4114B" w:rsidRPr="00D4114B" w:rsidRDefault="00D4114B" w:rsidP="004D0D52">
      <w:pPr>
        <w:spacing w:line="240" w:lineRule="auto"/>
        <w:jc w:val="both"/>
        <w:rPr>
          <w:b/>
          <w:bCs/>
        </w:rPr>
      </w:pPr>
      <w:r w:rsidRPr="00D4114B">
        <w:rPr>
          <w:b/>
          <w:bCs/>
        </w:rPr>
        <w:t xml:space="preserve">15. </w:t>
      </w:r>
      <w:r w:rsidR="002F02B9">
        <w:rPr>
          <w:b/>
          <w:bCs/>
        </w:rPr>
        <w:tab/>
      </w:r>
      <w:r w:rsidRPr="00D4114B">
        <w:rPr>
          <w:b/>
          <w:bCs/>
        </w:rPr>
        <w:t>Држава чланица треба да:</w:t>
      </w:r>
    </w:p>
    <w:p w14:paraId="16813458" w14:textId="66C0EDA4" w:rsidR="00D4114B" w:rsidRPr="002F02B9" w:rsidRDefault="00D4114B" w:rsidP="004D0D52">
      <w:pPr>
        <w:pStyle w:val="ListParagraph"/>
        <w:numPr>
          <w:ilvl w:val="0"/>
          <w:numId w:val="2"/>
        </w:numPr>
        <w:spacing w:line="240" w:lineRule="auto"/>
        <w:jc w:val="both"/>
        <w:rPr>
          <w:b/>
          <w:bCs/>
        </w:rPr>
      </w:pPr>
      <w:r w:rsidRPr="002F02B9">
        <w:rPr>
          <w:b/>
          <w:bCs/>
        </w:rPr>
        <w:t xml:space="preserve">темељно истражи злочине из мржње, </w:t>
      </w:r>
      <w:r w:rsidR="00A46C73">
        <w:rPr>
          <w:b/>
          <w:bCs/>
        </w:rPr>
        <w:t>постара се да</w:t>
      </w:r>
      <w:r w:rsidRPr="002F02B9">
        <w:rPr>
          <w:b/>
          <w:bCs/>
        </w:rPr>
        <w:t xml:space="preserve"> починиоци буду кривично гоњени и, уколико </w:t>
      </w:r>
      <w:r w:rsidR="00A46C73">
        <w:rPr>
          <w:b/>
          <w:bCs/>
        </w:rPr>
        <w:t xml:space="preserve">буду </w:t>
      </w:r>
      <w:r w:rsidRPr="002F02B9">
        <w:rPr>
          <w:b/>
          <w:bCs/>
        </w:rPr>
        <w:t>осуђени, да буду кажњени одговарајућим санкцијама и да омогући жртвама и њиховим породицама приступ пуној репарацији;</w:t>
      </w:r>
    </w:p>
    <w:p w14:paraId="75C1DA66" w14:textId="0D9C4B1A" w:rsidR="00D4114B" w:rsidRPr="002F02B9" w:rsidRDefault="00D4114B" w:rsidP="004D0D52">
      <w:pPr>
        <w:pStyle w:val="ListParagraph"/>
        <w:numPr>
          <w:ilvl w:val="0"/>
          <w:numId w:val="2"/>
        </w:numPr>
        <w:spacing w:line="240" w:lineRule="auto"/>
        <w:jc w:val="both"/>
        <w:rPr>
          <w:b/>
          <w:bCs/>
        </w:rPr>
      </w:pPr>
      <w:r w:rsidRPr="002F02B9">
        <w:rPr>
          <w:b/>
          <w:bCs/>
        </w:rPr>
        <w:t xml:space="preserve">ефикасно имплементира </w:t>
      </w:r>
      <w:r w:rsidR="00A46C73">
        <w:rPr>
          <w:b/>
          <w:bCs/>
        </w:rPr>
        <w:t xml:space="preserve">постојеће законе и одржава оквире јавних политика за </w:t>
      </w:r>
      <w:r w:rsidRPr="002F02B9">
        <w:rPr>
          <w:b/>
          <w:bCs/>
        </w:rPr>
        <w:t xml:space="preserve">борбу против злочина из мржње и да настави да </w:t>
      </w:r>
      <w:r w:rsidR="00A46C73">
        <w:rPr>
          <w:b/>
          <w:bCs/>
        </w:rPr>
        <w:t>спроводи</w:t>
      </w:r>
      <w:r w:rsidRPr="002F02B9">
        <w:rPr>
          <w:b/>
          <w:bCs/>
        </w:rPr>
        <w:t xml:space="preserve"> делотворну обуку за полицијске службенике, судије и тужиоце о истрази злочина из мржње и Смерницама државе чланице за кривично гоњење злочина из мржње;</w:t>
      </w:r>
    </w:p>
    <w:p w14:paraId="28E4715E" w14:textId="37A26215" w:rsidR="00D4114B" w:rsidRPr="002F02B9" w:rsidRDefault="008311B3" w:rsidP="004D0D52">
      <w:pPr>
        <w:pStyle w:val="ListParagraph"/>
        <w:numPr>
          <w:ilvl w:val="0"/>
          <w:numId w:val="2"/>
        </w:numPr>
        <w:spacing w:line="240" w:lineRule="auto"/>
        <w:jc w:val="both"/>
        <w:rPr>
          <w:b/>
          <w:bCs/>
        </w:rPr>
      </w:pPr>
      <w:r>
        <w:rPr>
          <w:b/>
          <w:bCs/>
        </w:rPr>
        <w:lastRenderedPageBreak/>
        <w:t>п</w:t>
      </w:r>
      <w:r w:rsidR="00D4114B" w:rsidRPr="002F02B9">
        <w:rPr>
          <w:b/>
          <w:bCs/>
        </w:rPr>
        <w:t>редузме делотворне мере за спречавање и јавну осуду говора мржње, посебно говора мржње политичара и високих званичника;</w:t>
      </w:r>
    </w:p>
    <w:p w14:paraId="5EDDF5CB" w14:textId="55ECAE77" w:rsidR="00D4114B" w:rsidRPr="002F02B9" w:rsidRDefault="008311B3" w:rsidP="004D0D52">
      <w:pPr>
        <w:pStyle w:val="ListParagraph"/>
        <w:numPr>
          <w:ilvl w:val="0"/>
          <w:numId w:val="2"/>
        </w:numPr>
        <w:spacing w:line="240" w:lineRule="auto"/>
        <w:jc w:val="both"/>
        <w:rPr>
          <w:b/>
          <w:bCs/>
        </w:rPr>
      </w:pPr>
      <w:r>
        <w:rPr>
          <w:b/>
          <w:bCs/>
        </w:rPr>
        <w:t>и</w:t>
      </w:r>
      <w:r w:rsidR="00D4114B" w:rsidRPr="002F02B9">
        <w:rPr>
          <w:b/>
          <w:bCs/>
        </w:rPr>
        <w:t xml:space="preserve">нтензивира </w:t>
      </w:r>
      <w:r w:rsidR="005C3DC6">
        <w:rPr>
          <w:b/>
          <w:bCs/>
        </w:rPr>
        <w:t xml:space="preserve">активности у борби </w:t>
      </w:r>
      <w:r w:rsidR="00D4114B" w:rsidRPr="002F02B9">
        <w:rPr>
          <w:b/>
          <w:bCs/>
        </w:rPr>
        <w:t xml:space="preserve">против распрострањености говора мржње на интернету, </w:t>
      </w:r>
      <w:r w:rsidR="005C3DC6">
        <w:rPr>
          <w:b/>
          <w:bCs/>
        </w:rPr>
        <w:t>кроз непосредну сарадњу</w:t>
      </w:r>
      <w:r w:rsidR="00D4114B" w:rsidRPr="002F02B9">
        <w:rPr>
          <w:b/>
          <w:bCs/>
        </w:rPr>
        <w:t xml:space="preserve"> са пружаоцима интернет услуга и платформама друштвених мрежа и у </w:t>
      </w:r>
      <w:r w:rsidR="005C3DC6">
        <w:rPr>
          <w:b/>
          <w:bCs/>
        </w:rPr>
        <w:t>непосредним консултцијама</w:t>
      </w:r>
      <w:r w:rsidR="00D4114B" w:rsidRPr="002F02B9">
        <w:rPr>
          <w:b/>
          <w:bCs/>
        </w:rPr>
        <w:t xml:space="preserve"> са групама које су највише погођене говором мржње;</w:t>
      </w:r>
    </w:p>
    <w:p w14:paraId="042B5400" w14:textId="16A15756" w:rsidR="00D4114B" w:rsidRPr="002F02B9" w:rsidRDefault="008311B3" w:rsidP="004D0D52">
      <w:pPr>
        <w:pStyle w:val="ListParagraph"/>
        <w:numPr>
          <w:ilvl w:val="0"/>
          <w:numId w:val="2"/>
        </w:numPr>
        <w:spacing w:line="240" w:lineRule="auto"/>
        <w:jc w:val="both"/>
        <w:rPr>
          <w:b/>
          <w:bCs/>
        </w:rPr>
      </w:pPr>
      <w:r>
        <w:rPr>
          <w:b/>
          <w:bCs/>
        </w:rPr>
        <w:t>п</w:t>
      </w:r>
      <w:r w:rsidR="002204DA">
        <w:rPr>
          <w:b/>
          <w:bCs/>
        </w:rPr>
        <w:t>о</w:t>
      </w:r>
      <w:r w:rsidR="00D4114B" w:rsidRPr="002F02B9">
        <w:rPr>
          <w:b/>
          <w:bCs/>
        </w:rPr>
        <w:t xml:space="preserve">јача кампање за подизање свести </w:t>
      </w:r>
      <w:r w:rsidR="005C3DC6">
        <w:rPr>
          <w:b/>
          <w:bCs/>
        </w:rPr>
        <w:t xml:space="preserve">државних </w:t>
      </w:r>
      <w:r w:rsidR="00D4114B" w:rsidRPr="002F02B9">
        <w:rPr>
          <w:b/>
          <w:bCs/>
        </w:rPr>
        <w:t xml:space="preserve">службеника, наставника и ученика </w:t>
      </w:r>
      <w:r w:rsidR="005C3DC6">
        <w:rPr>
          <w:b/>
          <w:bCs/>
        </w:rPr>
        <w:t xml:space="preserve">и студената </w:t>
      </w:r>
      <w:r w:rsidR="00D4114B" w:rsidRPr="002F02B9">
        <w:rPr>
          <w:b/>
          <w:bCs/>
        </w:rPr>
        <w:t xml:space="preserve">на свим нивоима образовног система, као и </w:t>
      </w:r>
      <w:r w:rsidR="005C3DC6">
        <w:rPr>
          <w:b/>
          <w:bCs/>
        </w:rPr>
        <w:t xml:space="preserve">шире </w:t>
      </w:r>
      <w:r w:rsidR="00D4114B" w:rsidRPr="002F02B9">
        <w:rPr>
          <w:b/>
          <w:bCs/>
        </w:rPr>
        <w:t>јавности, у циљу промовисања поштовања људских права и различитости.</w:t>
      </w:r>
    </w:p>
    <w:p w14:paraId="0D424305" w14:textId="77777777" w:rsidR="00D4114B" w:rsidRPr="00D4114B" w:rsidRDefault="00D4114B" w:rsidP="004D0D52">
      <w:pPr>
        <w:spacing w:line="240" w:lineRule="auto"/>
        <w:jc w:val="both"/>
        <w:rPr>
          <w:b/>
          <w:bCs/>
        </w:rPr>
      </w:pPr>
      <w:r w:rsidRPr="00D4114B">
        <w:rPr>
          <w:b/>
          <w:bCs/>
        </w:rPr>
        <w:t>Дискриминација лезбејки, хомосексуалаца, бисексуалних, трансродних и интерсексуалних особа</w:t>
      </w:r>
    </w:p>
    <w:p w14:paraId="07612E0B" w14:textId="24EEDD5D" w:rsidR="008311B3" w:rsidRDefault="008311B3" w:rsidP="004D0D52">
      <w:pPr>
        <w:spacing w:line="240" w:lineRule="auto"/>
        <w:ind w:left="708" w:hanging="708"/>
        <w:jc w:val="both"/>
      </w:pPr>
      <w:r>
        <w:t xml:space="preserve">16. </w:t>
      </w:r>
      <w:r>
        <w:tab/>
        <w:t xml:space="preserve">Комитет је и даље забринут због континуиране распрострањености аката дискриминације, нетолеранције и насиља над лезбејкама, хомосексуалцима, бисексуалним, трансродним и интерсексуалним особама, укључујући и током остваривања права на мирно окупљање. Комитет је такође забринут због непостојања правног оквира који би </w:t>
      </w:r>
      <w:r w:rsidR="005C3DC6">
        <w:t>уредио</w:t>
      </w:r>
      <w:r>
        <w:t xml:space="preserve"> права и обавезе које проистичу из истополних партнерстава и </w:t>
      </w:r>
      <w:r w:rsidR="005C3DC6">
        <w:t xml:space="preserve">последичном </w:t>
      </w:r>
      <w:r>
        <w:t xml:space="preserve">дискриминацијом у приступу низу права у областима као што су имовина, пензије и наслеђивање. Иако поздравља кораке предузете да би се олакшала промена пола, </w:t>
      </w:r>
      <w:r w:rsidR="005C3DC6">
        <w:t>без условљавања хирушком интервенцијом</w:t>
      </w:r>
      <w:r>
        <w:t xml:space="preserve"> промене пола, Комитет је забринут да је и даље неопходн</w:t>
      </w:r>
      <w:r w:rsidR="003B65C6">
        <w:t>о мишљење психијатра</w:t>
      </w:r>
      <w:r>
        <w:t>, да је процес</w:t>
      </w:r>
      <w:r w:rsidR="003B65C6">
        <w:t xml:space="preserve"> сувише</w:t>
      </w:r>
      <w:r>
        <w:t xml:space="preserve"> бирократски и да релевантни државни службеници нису довољно упућени у детаље процеса (чл. 2, 7, 20, 21 и 26).</w:t>
      </w:r>
    </w:p>
    <w:p w14:paraId="363023B4" w14:textId="65628CEC" w:rsidR="008311B3" w:rsidRPr="008311B3" w:rsidRDefault="008311B3" w:rsidP="004D0D52">
      <w:pPr>
        <w:spacing w:line="240" w:lineRule="auto"/>
        <w:ind w:left="708" w:hanging="708"/>
        <w:jc w:val="both"/>
        <w:rPr>
          <w:b/>
          <w:bCs/>
        </w:rPr>
      </w:pPr>
      <w:r w:rsidRPr="008311B3">
        <w:rPr>
          <w:b/>
          <w:bCs/>
        </w:rPr>
        <w:t xml:space="preserve">17. </w:t>
      </w:r>
      <w:r>
        <w:rPr>
          <w:b/>
          <w:bCs/>
        </w:rPr>
        <w:tab/>
      </w:r>
      <w:r w:rsidRPr="008311B3">
        <w:rPr>
          <w:b/>
          <w:bCs/>
        </w:rPr>
        <w:t>Држава чланица треба да удвостручи своје напоре у борби против дискриминације, стереотипа и предрасуда према лезбејкама, хомосексуалцима, бисексуалним, трансродним и интерсексуалним особама. С тим у вези, држава чланица треба да:</w:t>
      </w:r>
    </w:p>
    <w:p w14:paraId="6FD683B5" w14:textId="196A1500" w:rsidR="008311B3" w:rsidRPr="008311B3" w:rsidRDefault="008311B3" w:rsidP="004D0D52">
      <w:pPr>
        <w:pStyle w:val="ListParagraph"/>
        <w:numPr>
          <w:ilvl w:val="0"/>
          <w:numId w:val="4"/>
        </w:numPr>
        <w:spacing w:line="240" w:lineRule="auto"/>
        <w:jc w:val="both"/>
        <w:rPr>
          <w:b/>
          <w:bCs/>
        </w:rPr>
      </w:pPr>
      <w:r w:rsidRPr="008311B3">
        <w:rPr>
          <w:b/>
          <w:bCs/>
        </w:rPr>
        <w:t xml:space="preserve">настави са борбом против стереотипа и негативних ставова према особама на основу њихове стварне или </w:t>
      </w:r>
      <w:r w:rsidR="003B65C6">
        <w:rPr>
          <w:b/>
          <w:bCs/>
        </w:rPr>
        <w:t>предпостављене</w:t>
      </w:r>
      <w:r w:rsidRPr="008311B3">
        <w:rPr>
          <w:b/>
          <w:bCs/>
        </w:rPr>
        <w:t xml:space="preserve"> сексуалне оријентације или родног идентитета, укључујући </w:t>
      </w:r>
      <w:r w:rsidR="003B65C6">
        <w:rPr>
          <w:b/>
          <w:bCs/>
        </w:rPr>
        <w:t>јавне</w:t>
      </w:r>
      <w:r w:rsidRPr="008311B3">
        <w:rPr>
          <w:b/>
          <w:bCs/>
        </w:rPr>
        <w:t xml:space="preserve"> информативн</w:t>
      </w:r>
      <w:r w:rsidR="003B65C6">
        <w:rPr>
          <w:b/>
          <w:bCs/>
        </w:rPr>
        <w:t>е</w:t>
      </w:r>
      <w:r w:rsidRPr="008311B3">
        <w:rPr>
          <w:b/>
          <w:bCs/>
        </w:rPr>
        <w:t xml:space="preserve"> кампањ</w:t>
      </w:r>
      <w:r w:rsidR="003B65C6">
        <w:rPr>
          <w:b/>
          <w:bCs/>
        </w:rPr>
        <w:t>е</w:t>
      </w:r>
      <w:r w:rsidRPr="008311B3">
        <w:rPr>
          <w:b/>
          <w:bCs/>
        </w:rPr>
        <w:t xml:space="preserve"> и програм</w:t>
      </w:r>
      <w:r w:rsidR="003B65C6">
        <w:rPr>
          <w:b/>
          <w:bCs/>
        </w:rPr>
        <w:t>е</w:t>
      </w:r>
      <w:r w:rsidRPr="008311B3">
        <w:rPr>
          <w:b/>
          <w:bCs/>
        </w:rPr>
        <w:t xml:space="preserve"> сексуалног образовања у школама који ученицима пружају потпуне и тачне информације, које одговарају узрасту, о сексуалности и различитим родним идентитетима;</w:t>
      </w:r>
    </w:p>
    <w:p w14:paraId="1387B65C" w14:textId="2E1A7E99" w:rsidR="008311B3" w:rsidRPr="008311B3" w:rsidRDefault="008311B3" w:rsidP="004D0D52">
      <w:pPr>
        <w:pStyle w:val="ListParagraph"/>
        <w:numPr>
          <w:ilvl w:val="0"/>
          <w:numId w:val="4"/>
        </w:numPr>
        <w:spacing w:line="240" w:lineRule="auto"/>
        <w:jc w:val="both"/>
        <w:rPr>
          <w:b/>
          <w:bCs/>
        </w:rPr>
      </w:pPr>
      <w:r w:rsidRPr="008311B3">
        <w:rPr>
          <w:b/>
          <w:bCs/>
        </w:rPr>
        <w:t>осигура да лезбејке,</w:t>
      </w:r>
      <w:r w:rsidR="003B65C6">
        <w:rPr>
          <w:b/>
          <w:bCs/>
        </w:rPr>
        <w:t xml:space="preserve"> </w:t>
      </w:r>
      <w:r w:rsidR="00856F2E">
        <w:rPr>
          <w:b/>
          <w:bCs/>
        </w:rPr>
        <w:t>хомосексуалци</w:t>
      </w:r>
      <w:r w:rsidRPr="008311B3">
        <w:rPr>
          <w:b/>
          <w:bCs/>
        </w:rPr>
        <w:t xml:space="preserve">, бисексуалне, трансродне и интерсексуалне особе могу да </w:t>
      </w:r>
      <w:r w:rsidR="003B65C6">
        <w:rPr>
          <w:b/>
          <w:bCs/>
        </w:rPr>
        <w:t>уживају</w:t>
      </w:r>
      <w:r w:rsidRPr="008311B3">
        <w:rPr>
          <w:b/>
          <w:bCs/>
        </w:rPr>
        <w:t xml:space="preserve"> право на мирно окупљање без страха од насиља и застрашивања;</w:t>
      </w:r>
    </w:p>
    <w:p w14:paraId="586BA7C9" w14:textId="35600811" w:rsidR="008311B3" w:rsidRPr="008311B3" w:rsidRDefault="008311B3" w:rsidP="004D0D52">
      <w:pPr>
        <w:pStyle w:val="ListParagraph"/>
        <w:numPr>
          <w:ilvl w:val="0"/>
          <w:numId w:val="4"/>
        </w:numPr>
        <w:spacing w:line="240" w:lineRule="auto"/>
        <w:jc w:val="both"/>
        <w:rPr>
          <w:b/>
          <w:bCs/>
        </w:rPr>
      </w:pPr>
      <w:r w:rsidRPr="008311B3">
        <w:rPr>
          <w:b/>
          <w:bCs/>
        </w:rPr>
        <w:t xml:space="preserve">усвоји или измени законе у циљу обезбеђивања </w:t>
      </w:r>
      <w:r w:rsidR="003B65C6">
        <w:rPr>
          <w:b/>
          <w:bCs/>
        </w:rPr>
        <w:t xml:space="preserve">у потпуности </w:t>
      </w:r>
      <w:r w:rsidRPr="008311B3">
        <w:rPr>
          <w:b/>
          <w:bCs/>
        </w:rPr>
        <w:t>једнаког поступања према истополним паровима и га</w:t>
      </w:r>
      <w:r w:rsidR="003B65C6">
        <w:rPr>
          <w:b/>
          <w:bCs/>
        </w:rPr>
        <w:t>рантовања свих права признатих  Пактом</w:t>
      </w:r>
      <w:r w:rsidRPr="008311B3">
        <w:rPr>
          <w:b/>
          <w:bCs/>
        </w:rPr>
        <w:t>;</w:t>
      </w:r>
    </w:p>
    <w:p w14:paraId="3510A4FC" w14:textId="784A9193" w:rsidR="008311B3" w:rsidRPr="008311B3" w:rsidRDefault="008311B3" w:rsidP="004D0D52">
      <w:pPr>
        <w:pStyle w:val="ListParagraph"/>
        <w:numPr>
          <w:ilvl w:val="0"/>
          <w:numId w:val="4"/>
        </w:numPr>
        <w:spacing w:line="240" w:lineRule="auto"/>
        <w:jc w:val="both"/>
        <w:rPr>
          <w:b/>
          <w:bCs/>
        </w:rPr>
      </w:pPr>
      <w:r w:rsidRPr="008311B3">
        <w:rPr>
          <w:b/>
          <w:bCs/>
        </w:rPr>
        <w:t>усвоји или измени законе о промени пола, уклони неоправдане услове за то и уведе једноставне и приступачне административне процедуре које су у складу са Пактом;</w:t>
      </w:r>
    </w:p>
    <w:p w14:paraId="5A961EA7" w14:textId="308E0082" w:rsidR="008311B3" w:rsidRPr="008311B3" w:rsidRDefault="008311B3" w:rsidP="004D0D52">
      <w:pPr>
        <w:pStyle w:val="ListParagraph"/>
        <w:numPr>
          <w:ilvl w:val="0"/>
          <w:numId w:val="4"/>
        </w:numPr>
        <w:spacing w:line="240" w:lineRule="auto"/>
        <w:jc w:val="both"/>
        <w:rPr>
          <w:b/>
          <w:bCs/>
        </w:rPr>
      </w:pPr>
      <w:r w:rsidRPr="008311B3">
        <w:rPr>
          <w:b/>
          <w:bCs/>
        </w:rPr>
        <w:t>осигура да се кривична дела мотивисана сексуалном оријентацијом или родним идентитетом жртве, која су починили појединци или државни службеници одмах истраже, да одговорни буду изведени пред лице правде и, да уколико буду осуђени, буду адекватно кажњени и да жртве добију свеобухватну репарацију укључујући рехабилитацију и компензацију.</w:t>
      </w:r>
    </w:p>
    <w:p w14:paraId="4C22D4F8" w14:textId="77777777" w:rsidR="008311B3" w:rsidRPr="008311B3" w:rsidRDefault="008311B3" w:rsidP="004D0D52">
      <w:pPr>
        <w:spacing w:line="240" w:lineRule="auto"/>
        <w:jc w:val="both"/>
        <w:rPr>
          <w:b/>
          <w:bCs/>
        </w:rPr>
      </w:pPr>
      <w:r w:rsidRPr="008311B3">
        <w:rPr>
          <w:b/>
          <w:bCs/>
        </w:rPr>
        <w:t>Искљученост Рома</w:t>
      </w:r>
    </w:p>
    <w:p w14:paraId="6F5101F0" w14:textId="1C92B4E6" w:rsidR="008311B3" w:rsidRDefault="008311B3" w:rsidP="004D0D52">
      <w:pPr>
        <w:spacing w:line="240" w:lineRule="auto"/>
        <w:ind w:left="708" w:hanging="708"/>
        <w:jc w:val="both"/>
      </w:pPr>
      <w:r>
        <w:t xml:space="preserve">18. </w:t>
      </w:r>
      <w:r>
        <w:tab/>
      </w:r>
      <w:r w:rsidR="003B65C6">
        <w:t>Одајући признање за</w:t>
      </w:r>
      <w:r>
        <w:t xml:space="preserve"> кораке које је држава чланица предузела и постигнути напредак, посебно у</w:t>
      </w:r>
      <w:r w:rsidR="003B65C6">
        <w:t xml:space="preserve"> отклањању</w:t>
      </w:r>
      <w:r>
        <w:t xml:space="preserve"> препрека </w:t>
      </w:r>
      <w:r w:rsidR="003B65C6">
        <w:t xml:space="preserve">приликом </w:t>
      </w:r>
      <w:r>
        <w:t>упис</w:t>
      </w:r>
      <w:r w:rsidR="003B65C6">
        <w:t xml:space="preserve">а чињенице </w:t>
      </w:r>
      <w:r>
        <w:t xml:space="preserve"> рођења, смањењу стопе смртности новорођенчади и повећању могућности за образовање, Комитет понавља своју забринутост да упркос напорима државе чланице, припадници ромске заједнице и даље трпе значајну дискриминацију и маргинализацију. Комитет је забринут што ромска заједница, посебно интерно расељени Роми који живе у неформалним насељима, и </w:t>
      </w:r>
      <w:r>
        <w:lastRenderedPageBreak/>
        <w:t xml:space="preserve">даље пати од високе стопе сиромаштва и искључености што се огледа у нижим резултатима образовања, запошљавања и здравља, као и недостатку приступа основним услугама као што су </w:t>
      </w:r>
      <w:r w:rsidR="003B65C6">
        <w:t>електрична енергија</w:t>
      </w:r>
      <w:r>
        <w:t>, вода за пиће и канализација. Уважавајући релевантне кораке предузете на побољшању нивоа уче</w:t>
      </w:r>
      <w:r w:rsidR="008B6717">
        <w:t>шћа</w:t>
      </w:r>
      <w:r>
        <w:t xml:space="preserve"> Рома у јавном и политичком животу, Комитет је такође забринут због извештаја да ромска заједница није </w:t>
      </w:r>
      <w:r w:rsidR="008B6717">
        <w:t>на адекватан начин  и непосредно учес</w:t>
      </w:r>
      <w:r w:rsidR="004B29C9">
        <w:t>т</w:t>
      </w:r>
      <w:r w:rsidR="008B6717">
        <w:t>вовала у изради С</w:t>
      </w:r>
      <w:r>
        <w:t xml:space="preserve">тратегије за </w:t>
      </w:r>
      <w:r w:rsidR="008B6717">
        <w:t xml:space="preserve">унапређење положаја Рома и пратећег акционог плана </w:t>
      </w:r>
      <w:r>
        <w:t>усвојеног 2022. године (чланови 2, 7, 25, 26 и 27).</w:t>
      </w:r>
    </w:p>
    <w:p w14:paraId="11C437D8" w14:textId="2F0DE99F" w:rsidR="008311B3" w:rsidRPr="008311B3" w:rsidRDefault="008311B3" w:rsidP="004D0D52">
      <w:pPr>
        <w:spacing w:line="240" w:lineRule="auto"/>
        <w:ind w:left="708" w:hanging="708"/>
        <w:jc w:val="both"/>
        <w:rPr>
          <w:b/>
          <w:bCs/>
        </w:rPr>
      </w:pPr>
      <w:r w:rsidRPr="008311B3">
        <w:rPr>
          <w:b/>
          <w:bCs/>
        </w:rPr>
        <w:t xml:space="preserve">19. </w:t>
      </w:r>
      <w:r>
        <w:rPr>
          <w:b/>
          <w:bCs/>
        </w:rPr>
        <w:tab/>
      </w:r>
      <w:r w:rsidRPr="008311B3">
        <w:rPr>
          <w:b/>
          <w:bCs/>
        </w:rPr>
        <w:t xml:space="preserve">Држава чланица треба да предузме </w:t>
      </w:r>
      <w:r w:rsidR="008B6717">
        <w:rPr>
          <w:b/>
          <w:bCs/>
        </w:rPr>
        <w:t>делотворне</w:t>
      </w:r>
      <w:r w:rsidRPr="008311B3">
        <w:rPr>
          <w:b/>
          <w:bCs/>
        </w:rPr>
        <w:t xml:space="preserve"> мере за решавање проблема дискриминације и маргинализације са којима се ромска заједница суочава, укључујући:</w:t>
      </w:r>
    </w:p>
    <w:p w14:paraId="2F9F236D" w14:textId="1B19A075" w:rsidR="008311B3" w:rsidRPr="008311B3" w:rsidRDefault="008311B3" w:rsidP="004D0D52">
      <w:pPr>
        <w:pStyle w:val="ListParagraph"/>
        <w:numPr>
          <w:ilvl w:val="0"/>
          <w:numId w:val="3"/>
        </w:numPr>
        <w:spacing w:line="240" w:lineRule="auto"/>
        <w:jc w:val="both"/>
        <w:rPr>
          <w:b/>
          <w:bCs/>
        </w:rPr>
      </w:pPr>
      <w:r w:rsidRPr="008311B3">
        <w:rPr>
          <w:b/>
          <w:bCs/>
        </w:rPr>
        <w:t>издвајање довољ</w:t>
      </w:r>
      <w:r w:rsidR="008B6717">
        <w:rPr>
          <w:b/>
          <w:bCs/>
        </w:rPr>
        <w:t xml:space="preserve">них </w:t>
      </w:r>
      <w:r w:rsidRPr="008311B3">
        <w:rPr>
          <w:b/>
          <w:bCs/>
        </w:rPr>
        <w:t xml:space="preserve">средстава за мере </w:t>
      </w:r>
      <w:r w:rsidR="008B6717">
        <w:rPr>
          <w:b/>
          <w:bCs/>
        </w:rPr>
        <w:t xml:space="preserve">које имају за циљ </w:t>
      </w:r>
      <w:r w:rsidRPr="008311B3">
        <w:rPr>
          <w:b/>
          <w:bCs/>
        </w:rPr>
        <w:t>смањење сиромаштва ромск</w:t>
      </w:r>
      <w:r w:rsidR="008B6717">
        <w:rPr>
          <w:b/>
          <w:bCs/>
        </w:rPr>
        <w:t>е заједнице</w:t>
      </w:r>
      <w:r w:rsidRPr="008311B3">
        <w:rPr>
          <w:b/>
          <w:bCs/>
        </w:rPr>
        <w:t xml:space="preserve">, као и </w:t>
      </w:r>
      <w:r w:rsidR="008B6717">
        <w:rPr>
          <w:b/>
          <w:bCs/>
        </w:rPr>
        <w:t>дефинисање</w:t>
      </w:r>
      <w:r w:rsidRPr="008311B3">
        <w:rPr>
          <w:b/>
          <w:bCs/>
        </w:rPr>
        <w:t xml:space="preserve"> тих мер</w:t>
      </w:r>
      <w:r w:rsidR="008B6717">
        <w:rPr>
          <w:b/>
          <w:bCs/>
        </w:rPr>
        <w:t xml:space="preserve">а на начин </w:t>
      </w:r>
      <w:r w:rsidRPr="008311B3">
        <w:rPr>
          <w:b/>
          <w:bCs/>
        </w:rPr>
        <w:t xml:space="preserve">да оне делотворно </w:t>
      </w:r>
      <w:r w:rsidR="008B6717">
        <w:rPr>
          <w:b/>
          <w:bCs/>
        </w:rPr>
        <w:t xml:space="preserve">обухвате све </w:t>
      </w:r>
      <w:r w:rsidRPr="008311B3">
        <w:rPr>
          <w:b/>
          <w:bCs/>
        </w:rPr>
        <w:t>Ром</w:t>
      </w:r>
      <w:r w:rsidR="008B6717">
        <w:rPr>
          <w:b/>
          <w:bCs/>
        </w:rPr>
        <w:t>е</w:t>
      </w:r>
      <w:r w:rsidRPr="008311B3">
        <w:rPr>
          <w:b/>
          <w:bCs/>
        </w:rPr>
        <w:t xml:space="preserve"> који живе у сиромаштву;</w:t>
      </w:r>
    </w:p>
    <w:p w14:paraId="071ECACB" w14:textId="58CC3C2B" w:rsidR="008311B3" w:rsidRPr="008311B3" w:rsidRDefault="008311B3" w:rsidP="004D0D52">
      <w:pPr>
        <w:pStyle w:val="ListParagraph"/>
        <w:numPr>
          <w:ilvl w:val="0"/>
          <w:numId w:val="3"/>
        </w:numPr>
        <w:spacing w:line="240" w:lineRule="auto"/>
        <w:jc w:val="both"/>
        <w:rPr>
          <w:b/>
          <w:bCs/>
        </w:rPr>
      </w:pPr>
      <w:r w:rsidRPr="008311B3">
        <w:rPr>
          <w:b/>
          <w:bCs/>
        </w:rPr>
        <w:t xml:space="preserve">јачање </w:t>
      </w:r>
      <w:r w:rsidR="008B6717">
        <w:rPr>
          <w:b/>
          <w:bCs/>
        </w:rPr>
        <w:t>свих видова образовања</w:t>
      </w:r>
      <w:r w:rsidR="00B33ED7" w:rsidRPr="00B33ED7">
        <w:rPr>
          <w:b/>
          <w:bCs/>
        </w:rPr>
        <w:t xml:space="preserve"> </w:t>
      </w:r>
      <w:r w:rsidR="00B33ED7" w:rsidRPr="008311B3">
        <w:rPr>
          <w:b/>
          <w:bCs/>
        </w:rPr>
        <w:t>за ромску децу</w:t>
      </w:r>
      <w:r w:rsidR="008B6717">
        <w:rPr>
          <w:b/>
          <w:bCs/>
        </w:rPr>
        <w:t xml:space="preserve"> </w:t>
      </w:r>
      <w:r w:rsidR="008B6717" w:rsidRPr="008311B3">
        <w:rPr>
          <w:b/>
          <w:bCs/>
        </w:rPr>
        <w:t>и ширењ</w:t>
      </w:r>
      <w:r w:rsidR="00B33ED7">
        <w:rPr>
          <w:b/>
          <w:bCs/>
        </w:rPr>
        <w:t xml:space="preserve">а информација </w:t>
      </w:r>
      <w:r w:rsidR="008B6717">
        <w:rPr>
          <w:b/>
          <w:bCs/>
        </w:rPr>
        <w:t xml:space="preserve"> </w:t>
      </w:r>
      <w:r w:rsidRPr="008311B3">
        <w:rPr>
          <w:b/>
          <w:bCs/>
        </w:rPr>
        <w:t xml:space="preserve"> у школама  о ромском језику и култури;</w:t>
      </w:r>
    </w:p>
    <w:p w14:paraId="43567815" w14:textId="67056E2E" w:rsidR="008311B3" w:rsidRPr="008311B3" w:rsidRDefault="008311B3" w:rsidP="004D0D52">
      <w:pPr>
        <w:pStyle w:val="ListParagraph"/>
        <w:numPr>
          <w:ilvl w:val="0"/>
          <w:numId w:val="3"/>
        </w:numPr>
        <w:spacing w:line="240" w:lineRule="auto"/>
        <w:jc w:val="both"/>
        <w:rPr>
          <w:b/>
          <w:bCs/>
        </w:rPr>
      </w:pPr>
      <w:r w:rsidRPr="008311B3">
        <w:rPr>
          <w:b/>
          <w:bCs/>
        </w:rPr>
        <w:t>јачање и проширење посебних мера за повећање уче</w:t>
      </w:r>
      <w:r w:rsidR="00B33ED7">
        <w:rPr>
          <w:b/>
          <w:bCs/>
        </w:rPr>
        <w:t>шћа</w:t>
      </w:r>
      <w:r w:rsidRPr="008311B3">
        <w:rPr>
          <w:b/>
          <w:bCs/>
        </w:rPr>
        <w:t xml:space="preserve"> Рома у јавном и политичком животу, укључујући мере које имају за циљ унапређење запошљавања Рома у </w:t>
      </w:r>
      <w:r w:rsidR="00B33ED7">
        <w:rPr>
          <w:b/>
          <w:bCs/>
        </w:rPr>
        <w:t>администрацији јединица локалних самоуправа</w:t>
      </w:r>
      <w:r w:rsidRPr="008311B3">
        <w:rPr>
          <w:b/>
          <w:bCs/>
        </w:rPr>
        <w:t>;</w:t>
      </w:r>
    </w:p>
    <w:p w14:paraId="67498928" w14:textId="2E5B7F15" w:rsidR="008311B3" w:rsidRPr="008311B3" w:rsidRDefault="008311B3" w:rsidP="004D0D52">
      <w:pPr>
        <w:pStyle w:val="ListParagraph"/>
        <w:numPr>
          <w:ilvl w:val="0"/>
          <w:numId w:val="3"/>
        </w:numPr>
        <w:spacing w:line="240" w:lineRule="auto"/>
        <w:jc w:val="both"/>
        <w:rPr>
          <w:b/>
          <w:bCs/>
        </w:rPr>
      </w:pPr>
      <w:r w:rsidRPr="008311B3">
        <w:rPr>
          <w:b/>
          <w:bCs/>
        </w:rPr>
        <w:t xml:space="preserve">промовисање </w:t>
      </w:r>
      <w:r w:rsidR="00B33ED7">
        <w:rPr>
          <w:b/>
          <w:bCs/>
        </w:rPr>
        <w:t>једнаких могућности и недискриминаторног приступа</w:t>
      </w:r>
      <w:r w:rsidRPr="008311B3">
        <w:rPr>
          <w:b/>
          <w:bCs/>
        </w:rPr>
        <w:t xml:space="preserve"> услугама</w:t>
      </w:r>
      <w:r w:rsidR="00B33ED7" w:rsidRPr="00B33ED7">
        <w:rPr>
          <w:b/>
          <w:bCs/>
        </w:rPr>
        <w:t xml:space="preserve"> </w:t>
      </w:r>
      <w:r w:rsidR="00B33ED7" w:rsidRPr="008311B3">
        <w:rPr>
          <w:b/>
          <w:bCs/>
        </w:rPr>
        <w:t>за припаднике ромске заједнице</w:t>
      </w:r>
      <w:r w:rsidRPr="008311B3">
        <w:rPr>
          <w:b/>
          <w:bCs/>
        </w:rPr>
        <w:t xml:space="preserve"> у свим областима;</w:t>
      </w:r>
    </w:p>
    <w:p w14:paraId="0B1FA0F8" w14:textId="376E2CCA" w:rsidR="008311B3" w:rsidRPr="008311B3" w:rsidRDefault="008311B3" w:rsidP="004D0D52">
      <w:pPr>
        <w:pStyle w:val="ListParagraph"/>
        <w:numPr>
          <w:ilvl w:val="0"/>
          <w:numId w:val="3"/>
        </w:numPr>
        <w:spacing w:line="240" w:lineRule="auto"/>
        <w:jc w:val="both"/>
        <w:rPr>
          <w:b/>
          <w:bCs/>
        </w:rPr>
      </w:pPr>
      <w:r w:rsidRPr="008311B3">
        <w:rPr>
          <w:b/>
          <w:bCs/>
        </w:rPr>
        <w:t xml:space="preserve">спровођење кампања за подизање свести у школама </w:t>
      </w:r>
      <w:r w:rsidR="00B33ED7">
        <w:rPr>
          <w:b/>
          <w:bCs/>
        </w:rPr>
        <w:t xml:space="preserve">ради  превазилажења </w:t>
      </w:r>
      <w:r w:rsidRPr="008311B3">
        <w:rPr>
          <w:b/>
          <w:bCs/>
        </w:rPr>
        <w:t xml:space="preserve"> дискриминације са којом се суочава ромска заједница.</w:t>
      </w:r>
      <w:r w:rsidR="00B33ED7">
        <w:rPr>
          <w:b/>
          <w:bCs/>
        </w:rPr>
        <w:t xml:space="preserve"> </w:t>
      </w:r>
    </w:p>
    <w:p w14:paraId="08599031" w14:textId="77777777" w:rsidR="008311B3" w:rsidRPr="008311B3" w:rsidRDefault="008311B3" w:rsidP="004D0D52">
      <w:pPr>
        <w:spacing w:line="240" w:lineRule="auto"/>
        <w:jc w:val="both"/>
        <w:rPr>
          <w:b/>
          <w:bCs/>
        </w:rPr>
      </w:pPr>
      <w:r w:rsidRPr="008311B3">
        <w:rPr>
          <w:b/>
          <w:bCs/>
        </w:rPr>
        <w:t>Родна равноправност</w:t>
      </w:r>
    </w:p>
    <w:p w14:paraId="46C264A5" w14:textId="25417409" w:rsidR="00B51985" w:rsidRDefault="00FE1514" w:rsidP="004D0D52">
      <w:pPr>
        <w:spacing w:line="240" w:lineRule="auto"/>
        <w:ind w:left="708" w:hanging="708"/>
        <w:jc w:val="both"/>
      </w:pPr>
      <w:r>
        <w:t xml:space="preserve">20. </w:t>
      </w:r>
      <w:r>
        <w:tab/>
        <w:t>Иако препо</w:t>
      </w:r>
      <w:r w:rsidR="00B51985">
        <w:t xml:space="preserve">знаје значајне кораке предузете на </w:t>
      </w:r>
      <w:r>
        <w:t>унапређењу</w:t>
      </w:r>
      <w:r w:rsidR="00B51985">
        <w:t xml:space="preserve"> родне равноправности, укључујући усвајање Закона о родној равноправности 2021. године</w:t>
      </w:r>
      <w:r>
        <w:t>,</w:t>
      </w:r>
      <w:r w:rsidR="00B51985">
        <w:t xml:space="preserve"> који се такође бави </w:t>
      </w:r>
      <w:r>
        <w:t xml:space="preserve">и </w:t>
      </w:r>
      <w:r w:rsidR="00B51985">
        <w:t xml:space="preserve">питањем неплаћеног </w:t>
      </w:r>
      <w:r>
        <w:t>кућног рада</w:t>
      </w:r>
      <w:r w:rsidR="00B51985">
        <w:t xml:space="preserve">, Комитет је и даље забринут због </w:t>
      </w:r>
      <w:r>
        <w:t>даљег присуства</w:t>
      </w:r>
      <w:r w:rsidR="00B51985">
        <w:t xml:space="preserve"> родних предрасуда и стереотипа о улогама и одговорности жена и мушкараца у породици и друштву у целини, што, између осталог, </w:t>
      </w:r>
      <w:r>
        <w:t xml:space="preserve">доводи до низа </w:t>
      </w:r>
      <w:r w:rsidR="00B51985">
        <w:t xml:space="preserve"> неједнакости на тржишту рада, укључујући јаз у платама и нижу стопу учешћа жена на тржишту рада. Такође је забринут </w:t>
      </w:r>
      <w:r>
        <w:t>изјава о</w:t>
      </w:r>
      <w:r w:rsidR="00B51985">
        <w:t xml:space="preserve"> распрострањен</w:t>
      </w:r>
      <w:r>
        <w:t>ости мизогиних и дискриминаторн</w:t>
      </w:r>
      <w:r w:rsidR="00B51985">
        <w:t>их изјава против жена, укључујући од стране политичких и верских представника, које штампа и медији често појачавају (чл. 2, 3 и 26).</w:t>
      </w:r>
    </w:p>
    <w:p w14:paraId="2A9BED2D" w14:textId="5019A9AD" w:rsidR="00B51985" w:rsidRPr="00B51985" w:rsidRDefault="00B51985" w:rsidP="004D0D52">
      <w:pPr>
        <w:spacing w:line="240" w:lineRule="auto"/>
        <w:ind w:left="708" w:hanging="708"/>
        <w:jc w:val="both"/>
        <w:rPr>
          <w:b/>
          <w:bCs/>
        </w:rPr>
      </w:pPr>
      <w:r w:rsidRPr="00B51985">
        <w:rPr>
          <w:b/>
          <w:bCs/>
        </w:rPr>
        <w:t xml:space="preserve">21. </w:t>
      </w:r>
      <w:r>
        <w:rPr>
          <w:b/>
          <w:bCs/>
        </w:rPr>
        <w:tab/>
      </w:r>
      <w:r w:rsidRPr="00B51985">
        <w:rPr>
          <w:b/>
          <w:bCs/>
        </w:rPr>
        <w:t xml:space="preserve">Држава чланица треба да ојача стратегије за подизање свести </w:t>
      </w:r>
      <w:r w:rsidR="00FE1514">
        <w:rPr>
          <w:b/>
          <w:bCs/>
        </w:rPr>
        <w:t>јавности</w:t>
      </w:r>
      <w:r w:rsidR="00571027">
        <w:rPr>
          <w:b/>
          <w:bCs/>
        </w:rPr>
        <w:t xml:space="preserve"> </w:t>
      </w:r>
      <w:r w:rsidRPr="00B51985">
        <w:rPr>
          <w:b/>
          <w:bCs/>
        </w:rPr>
        <w:t xml:space="preserve">у циљу борбе против родних предрасуда и стереотипа, који се одржавају у друштву, о улогама и одговорностима жена и мушкараца у породици и друштву и да предузме све неопходне мере за </w:t>
      </w:r>
      <w:r w:rsidR="00FE1514">
        <w:rPr>
          <w:b/>
          <w:bCs/>
        </w:rPr>
        <w:t>превазилажење тврдокорних</w:t>
      </w:r>
      <w:r w:rsidRPr="00B51985">
        <w:rPr>
          <w:b/>
          <w:bCs/>
        </w:rPr>
        <w:t xml:space="preserve"> неједнакости на тржишту рада. Такође би требало да предузме одговарајуће кораке како би </w:t>
      </w:r>
      <w:r w:rsidR="00FE1514">
        <w:rPr>
          <w:b/>
          <w:bCs/>
        </w:rPr>
        <w:t>обезбедила</w:t>
      </w:r>
      <w:r w:rsidRPr="00B51985">
        <w:rPr>
          <w:b/>
          <w:bCs/>
        </w:rPr>
        <w:t xml:space="preserve"> свеобухватнији одго</w:t>
      </w:r>
      <w:r w:rsidR="00FE1514">
        <w:rPr>
          <w:b/>
          <w:bCs/>
        </w:rPr>
        <w:t>вор на мизогине и дискриминаторн</w:t>
      </w:r>
      <w:r w:rsidRPr="00B51985">
        <w:rPr>
          <w:b/>
          <w:bCs/>
        </w:rPr>
        <w:t xml:space="preserve">е изјаве против жена, укључујући изјаве политичких и верских представника. </w:t>
      </w:r>
    </w:p>
    <w:p w14:paraId="3AE6AC04" w14:textId="77777777" w:rsidR="00B51985" w:rsidRPr="00B51985" w:rsidRDefault="00B51985" w:rsidP="004D0D52">
      <w:pPr>
        <w:spacing w:line="240" w:lineRule="auto"/>
        <w:jc w:val="both"/>
        <w:rPr>
          <w:b/>
          <w:bCs/>
        </w:rPr>
      </w:pPr>
      <w:r w:rsidRPr="00B51985">
        <w:rPr>
          <w:b/>
          <w:bCs/>
        </w:rPr>
        <w:t>Насиље над женама укључујући насиље у породици</w:t>
      </w:r>
    </w:p>
    <w:p w14:paraId="3E61F909" w14:textId="2B39A3D3" w:rsidR="00B51985" w:rsidRDefault="00B51985" w:rsidP="004D0D52">
      <w:pPr>
        <w:spacing w:line="240" w:lineRule="auto"/>
        <w:ind w:left="708" w:hanging="708"/>
        <w:jc w:val="both"/>
      </w:pPr>
      <w:r>
        <w:t xml:space="preserve">22. </w:t>
      </w:r>
      <w:r>
        <w:tab/>
        <w:t xml:space="preserve">Иако </w:t>
      </w:r>
      <w:r w:rsidR="00FE1514">
        <w:t>уважав</w:t>
      </w:r>
      <w:r>
        <w:t xml:space="preserve"> предузете важне кораке, Комитет је и даље забринут због континуиране распрострањености насиља над женама, посебно женама из маргинализованих група, укључујући </w:t>
      </w:r>
      <w:r w:rsidR="00FE1514">
        <w:t>ромске жене и</w:t>
      </w:r>
      <w:r>
        <w:t xml:space="preserve"> девојчице, жене са инвалидитетом и старије жене. Комитет је посебно забринут због високог нивоа насиља у породици и међу интимним партнерима и жали због недостатка информација о мерама за проширење доступности канала за пријављивање, или за обезбеђивање ефикасног приступа адекватно финансираним услугама помоћи. Комитет је такође забринут због пропуста у обезбеђивању </w:t>
      </w:r>
      <w:r>
        <w:lastRenderedPageBreak/>
        <w:t xml:space="preserve">правовремених и ефикасних заштитних одговора у циљу спречавања фемицида </w:t>
      </w:r>
      <w:r w:rsidR="00A17009">
        <w:t xml:space="preserve">о којима је обавештен </w:t>
      </w:r>
      <w:r>
        <w:t>и жали што дефиниција силовања у члану 178. Кривичног законика још увек није усклађена са међународним стандардима (чл. 3, 6, 7 и 26).</w:t>
      </w:r>
    </w:p>
    <w:p w14:paraId="4F9B911B" w14:textId="26C963B1" w:rsidR="00B51985" w:rsidRPr="00B51985" w:rsidRDefault="00B51985" w:rsidP="004D0D52">
      <w:pPr>
        <w:spacing w:line="240" w:lineRule="auto"/>
        <w:jc w:val="both"/>
        <w:rPr>
          <w:b/>
          <w:bCs/>
        </w:rPr>
      </w:pPr>
      <w:r w:rsidRPr="00B51985">
        <w:rPr>
          <w:b/>
          <w:bCs/>
        </w:rPr>
        <w:t xml:space="preserve">23. </w:t>
      </w:r>
      <w:r w:rsidR="00923C9C">
        <w:rPr>
          <w:b/>
          <w:bCs/>
        </w:rPr>
        <w:tab/>
      </w:r>
      <w:r w:rsidRPr="00B51985">
        <w:rPr>
          <w:b/>
          <w:bCs/>
        </w:rPr>
        <w:t>Држава чланица треба да:</w:t>
      </w:r>
    </w:p>
    <w:p w14:paraId="1E1A938D" w14:textId="32626144" w:rsidR="00B51985" w:rsidRPr="00B51985" w:rsidRDefault="00B51985" w:rsidP="004D0D52">
      <w:pPr>
        <w:pStyle w:val="ListParagraph"/>
        <w:numPr>
          <w:ilvl w:val="0"/>
          <w:numId w:val="5"/>
        </w:numPr>
        <w:spacing w:line="240" w:lineRule="auto"/>
        <w:jc w:val="both"/>
        <w:rPr>
          <w:b/>
          <w:bCs/>
        </w:rPr>
      </w:pPr>
      <w:r w:rsidRPr="00B51985">
        <w:rPr>
          <w:b/>
          <w:bCs/>
        </w:rPr>
        <w:t xml:space="preserve">настави и ојача своје напоре на </w:t>
      </w:r>
      <w:r w:rsidR="00A17009">
        <w:rPr>
          <w:b/>
          <w:bCs/>
        </w:rPr>
        <w:t xml:space="preserve">спречавању, кривичном гоњењу и </w:t>
      </w:r>
      <w:r w:rsidRPr="00B51985">
        <w:rPr>
          <w:b/>
          <w:bCs/>
        </w:rPr>
        <w:t xml:space="preserve">кажњавању </w:t>
      </w:r>
      <w:r w:rsidR="00A17009">
        <w:rPr>
          <w:b/>
          <w:bCs/>
        </w:rPr>
        <w:t xml:space="preserve">осуђених за </w:t>
      </w:r>
      <w:r w:rsidRPr="00B51985">
        <w:rPr>
          <w:b/>
          <w:bCs/>
        </w:rPr>
        <w:t>случајев</w:t>
      </w:r>
      <w:r w:rsidR="00A17009">
        <w:rPr>
          <w:b/>
          <w:bCs/>
        </w:rPr>
        <w:t>е</w:t>
      </w:r>
      <w:r w:rsidRPr="00B51985">
        <w:rPr>
          <w:b/>
          <w:bCs/>
        </w:rPr>
        <w:t xml:space="preserve"> родно заснованог насиља над женама, укључујући мере за подстицање пријављивања </w:t>
      </w:r>
      <w:r w:rsidR="00A17009">
        <w:rPr>
          <w:b/>
          <w:bCs/>
        </w:rPr>
        <w:t>ових кривичних дела</w:t>
      </w:r>
      <w:r w:rsidRPr="00B51985">
        <w:rPr>
          <w:b/>
          <w:bCs/>
        </w:rPr>
        <w:t xml:space="preserve"> и мере </w:t>
      </w:r>
      <w:r w:rsidR="00A17009">
        <w:rPr>
          <w:b/>
          <w:bCs/>
        </w:rPr>
        <w:t>намењене женама</w:t>
      </w:r>
      <w:r w:rsidRPr="00B51985">
        <w:rPr>
          <w:b/>
          <w:bCs/>
        </w:rPr>
        <w:t xml:space="preserve"> које су посебно рањиве, као што су </w:t>
      </w:r>
      <w:r w:rsidR="00A17009">
        <w:rPr>
          <w:b/>
          <w:bCs/>
        </w:rPr>
        <w:t xml:space="preserve">рпмске жене </w:t>
      </w:r>
      <w:r w:rsidRPr="00B51985">
        <w:rPr>
          <w:b/>
          <w:bCs/>
        </w:rPr>
        <w:t>и девојчице, жене са инвалидитетом и старије жене;</w:t>
      </w:r>
    </w:p>
    <w:p w14:paraId="7C9B3A6C" w14:textId="3898A1F3" w:rsidR="00B51985" w:rsidRPr="00B51985" w:rsidRDefault="00A17009" w:rsidP="004D0D52">
      <w:pPr>
        <w:pStyle w:val="ListParagraph"/>
        <w:numPr>
          <w:ilvl w:val="0"/>
          <w:numId w:val="5"/>
        </w:numPr>
        <w:spacing w:line="240" w:lineRule="auto"/>
        <w:jc w:val="both"/>
        <w:rPr>
          <w:b/>
          <w:bCs/>
        </w:rPr>
      </w:pPr>
      <w:r>
        <w:rPr>
          <w:b/>
          <w:bCs/>
        </w:rPr>
        <w:t xml:space="preserve">обезбеди </w:t>
      </w:r>
      <w:r w:rsidR="00B51985" w:rsidRPr="00B51985">
        <w:rPr>
          <w:b/>
          <w:bCs/>
        </w:rPr>
        <w:t>пуну репарацију</w:t>
      </w:r>
      <w:r>
        <w:rPr>
          <w:b/>
          <w:bCs/>
        </w:rPr>
        <w:t xml:space="preserve"> за све жртве</w:t>
      </w:r>
      <w:r w:rsidR="00B51985" w:rsidRPr="00B51985">
        <w:rPr>
          <w:b/>
          <w:bCs/>
        </w:rPr>
        <w:t xml:space="preserve">, укључујући адекватну </w:t>
      </w:r>
      <w:r>
        <w:rPr>
          <w:b/>
          <w:bCs/>
        </w:rPr>
        <w:t>одштету</w:t>
      </w:r>
      <w:r w:rsidR="00B51985" w:rsidRPr="00B51985">
        <w:rPr>
          <w:b/>
          <w:bCs/>
        </w:rPr>
        <w:t xml:space="preserve">, </w:t>
      </w:r>
      <w:r>
        <w:rPr>
          <w:b/>
          <w:bCs/>
        </w:rPr>
        <w:t xml:space="preserve">као и приступ </w:t>
      </w:r>
      <w:r w:rsidR="00B51985" w:rsidRPr="00B51985">
        <w:rPr>
          <w:b/>
          <w:bCs/>
        </w:rPr>
        <w:t xml:space="preserve"> одговарајућој заштити и помоћи;</w:t>
      </w:r>
    </w:p>
    <w:p w14:paraId="6A1D35E5" w14:textId="2C180EE7" w:rsidR="00B51985" w:rsidRPr="00B51985" w:rsidRDefault="00B51985" w:rsidP="004D0D52">
      <w:pPr>
        <w:pStyle w:val="ListParagraph"/>
        <w:numPr>
          <w:ilvl w:val="0"/>
          <w:numId w:val="5"/>
        </w:numPr>
        <w:spacing w:line="240" w:lineRule="auto"/>
        <w:jc w:val="both"/>
        <w:rPr>
          <w:b/>
          <w:bCs/>
        </w:rPr>
      </w:pPr>
      <w:r w:rsidRPr="00B51985">
        <w:rPr>
          <w:b/>
          <w:bCs/>
        </w:rPr>
        <w:t xml:space="preserve">измени члан 178 Кривичног законика како би се дефиниција силовања ускладила са међународним стандардима и да </w:t>
      </w:r>
      <w:r w:rsidR="00A17009">
        <w:rPr>
          <w:b/>
          <w:bCs/>
        </w:rPr>
        <w:t xml:space="preserve">са дужном пажњом размотри </w:t>
      </w:r>
      <w:r w:rsidRPr="00B51985">
        <w:rPr>
          <w:b/>
          <w:bCs/>
        </w:rPr>
        <w:t xml:space="preserve"> могућности усвајања посебног закона који би се бавио фемицидом;</w:t>
      </w:r>
    </w:p>
    <w:p w14:paraId="7DA98B59" w14:textId="00B7ACDD" w:rsidR="00B51985" w:rsidRPr="00B51985" w:rsidRDefault="00B51985" w:rsidP="004D0D52">
      <w:pPr>
        <w:pStyle w:val="ListParagraph"/>
        <w:numPr>
          <w:ilvl w:val="0"/>
          <w:numId w:val="5"/>
        </w:numPr>
        <w:spacing w:line="240" w:lineRule="auto"/>
        <w:jc w:val="both"/>
        <w:rPr>
          <w:b/>
          <w:bCs/>
        </w:rPr>
      </w:pPr>
      <w:r w:rsidRPr="00B51985">
        <w:rPr>
          <w:b/>
          <w:bCs/>
        </w:rPr>
        <w:t xml:space="preserve">настави и прошири обуку </w:t>
      </w:r>
      <w:r w:rsidR="00A17009">
        <w:rPr>
          <w:b/>
          <w:bCs/>
        </w:rPr>
        <w:t xml:space="preserve">државних </w:t>
      </w:r>
      <w:r w:rsidRPr="00B51985">
        <w:rPr>
          <w:b/>
          <w:bCs/>
        </w:rPr>
        <w:t>службеника, укључујући судије, тужиоце, адвокате и полицијске службенике, о идентификовању и поступању у случајевима насиља над женама, укључујући фемицид и породично и сексуално насиље;</w:t>
      </w:r>
    </w:p>
    <w:p w14:paraId="6C53CA84" w14:textId="43885561" w:rsidR="00B51985" w:rsidRPr="00B51985" w:rsidRDefault="00B51985" w:rsidP="004D0D52">
      <w:pPr>
        <w:pStyle w:val="ListParagraph"/>
        <w:numPr>
          <w:ilvl w:val="0"/>
          <w:numId w:val="5"/>
        </w:numPr>
        <w:spacing w:line="240" w:lineRule="auto"/>
        <w:jc w:val="both"/>
        <w:rPr>
          <w:b/>
          <w:bCs/>
        </w:rPr>
      </w:pPr>
      <w:r>
        <w:rPr>
          <w:b/>
          <w:bCs/>
        </w:rPr>
        <w:t>п</w:t>
      </w:r>
      <w:r w:rsidRPr="00B51985">
        <w:rPr>
          <w:b/>
          <w:bCs/>
        </w:rPr>
        <w:t xml:space="preserve">ојача кампање за подизање свести друштва у целини, како би се позабавила друштвеним и културним обрасцима и стереотипима </w:t>
      </w:r>
      <w:r w:rsidR="00A17009">
        <w:rPr>
          <w:b/>
          <w:bCs/>
        </w:rPr>
        <w:t xml:space="preserve">због којих </w:t>
      </w:r>
      <w:r w:rsidR="003810EB">
        <w:rPr>
          <w:b/>
          <w:bCs/>
        </w:rPr>
        <w:t>још увек постоји</w:t>
      </w:r>
      <w:r w:rsidRPr="00B51985">
        <w:rPr>
          <w:b/>
          <w:bCs/>
        </w:rPr>
        <w:t xml:space="preserve"> толеранциј</w:t>
      </w:r>
      <w:r w:rsidR="003810EB">
        <w:rPr>
          <w:b/>
          <w:bCs/>
        </w:rPr>
        <w:t>а</w:t>
      </w:r>
      <w:r w:rsidRPr="00B51985">
        <w:rPr>
          <w:b/>
          <w:bCs/>
        </w:rPr>
        <w:t xml:space="preserve"> </w:t>
      </w:r>
      <w:r w:rsidR="003810EB">
        <w:rPr>
          <w:b/>
          <w:bCs/>
        </w:rPr>
        <w:t>на родно засновано</w:t>
      </w:r>
      <w:r w:rsidRPr="00B51985">
        <w:rPr>
          <w:b/>
          <w:bCs/>
        </w:rPr>
        <w:t xml:space="preserve"> насиљ</w:t>
      </w:r>
      <w:r w:rsidR="003810EB">
        <w:rPr>
          <w:b/>
          <w:bCs/>
        </w:rPr>
        <w:t>е</w:t>
      </w:r>
      <w:r w:rsidRPr="00B51985">
        <w:rPr>
          <w:b/>
          <w:bCs/>
        </w:rPr>
        <w:t>.</w:t>
      </w:r>
    </w:p>
    <w:p w14:paraId="79BF4156" w14:textId="77777777" w:rsidR="00B51985" w:rsidRPr="00B51985" w:rsidRDefault="00B51985" w:rsidP="004D0D52">
      <w:pPr>
        <w:spacing w:line="240" w:lineRule="auto"/>
        <w:jc w:val="both"/>
        <w:rPr>
          <w:b/>
          <w:bCs/>
        </w:rPr>
      </w:pPr>
      <w:r w:rsidRPr="00B51985">
        <w:rPr>
          <w:b/>
          <w:bCs/>
        </w:rPr>
        <w:t>Нестале особе и одговорност за кршења људских права у прошлости</w:t>
      </w:r>
    </w:p>
    <w:p w14:paraId="217B2267" w14:textId="2EED7448" w:rsidR="00AD1534" w:rsidRDefault="003810EB" w:rsidP="004D0D52">
      <w:pPr>
        <w:spacing w:line="240" w:lineRule="auto"/>
        <w:ind w:left="708" w:hanging="708"/>
        <w:jc w:val="both"/>
      </w:pPr>
      <w:r>
        <w:t xml:space="preserve">24. </w:t>
      </w:r>
      <w:r>
        <w:tab/>
        <w:t>Иако препо</w:t>
      </w:r>
      <w:r w:rsidR="00AD1534">
        <w:t>знаје изазове са којима се држава чланица суочава у погледу сарадње са суседним земљама и територијама, Комитет је и даље забринут због спорог напретка у расветљавању значајног броја нерешених случајева несталих особа, недостатка одговорности за ранија кршења људских права, посебно у погледу званичника средњег и високог ранга и непостојања свеобухватног и ефикасног система репарација за жртве, укључујући жртве сексуалног насиља у вези са сукобом. Комитет је такође забринут због извештаја</w:t>
      </w:r>
      <w:r>
        <w:t xml:space="preserve"> о политичарима и државним званичницима</w:t>
      </w:r>
      <w:r w:rsidR="00AD1534">
        <w:t xml:space="preserve"> који негирају ратне злочине и очигледног одсуства мера за обезбеђивање одговорности у том погледу (чл. 2, 6, 7, 9 и 16).</w:t>
      </w:r>
    </w:p>
    <w:p w14:paraId="0BE37DDF" w14:textId="07F03FB9" w:rsidR="00AD1534" w:rsidRPr="00AD1534" w:rsidRDefault="00AD1534" w:rsidP="004D0D52">
      <w:pPr>
        <w:spacing w:line="240" w:lineRule="auto"/>
        <w:jc w:val="both"/>
        <w:rPr>
          <w:b/>
          <w:bCs/>
        </w:rPr>
      </w:pPr>
      <w:r w:rsidRPr="00AD1534">
        <w:rPr>
          <w:b/>
          <w:bCs/>
        </w:rPr>
        <w:t xml:space="preserve">25. </w:t>
      </w:r>
      <w:r w:rsidR="00923C9C">
        <w:rPr>
          <w:b/>
          <w:bCs/>
        </w:rPr>
        <w:tab/>
      </w:r>
      <w:r w:rsidRPr="00AD1534">
        <w:rPr>
          <w:b/>
          <w:bCs/>
        </w:rPr>
        <w:t>Држава чланица треба да:</w:t>
      </w:r>
    </w:p>
    <w:p w14:paraId="31608D2F" w14:textId="7CF8BED7" w:rsidR="00AD1534" w:rsidRPr="00AD1534" w:rsidRDefault="00AD1534" w:rsidP="004D0D52">
      <w:pPr>
        <w:pStyle w:val="ListParagraph"/>
        <w:numPr>
          <w:ilvl w:val="0"/>
          <w:numId w:val="7"/>
        </w:numPr>
        <w:spacing w:line="240" w:lineRule="auto"/>
        <w:jc w:val="both"/>
        <w:rPr>
          <w:b/>
          <w:bCs/>
        </w:rPr>
      </w:pPr>
      <w:r w:rsidRPr="00AD1534">
        <w:rPr>
          <w:b/>
          <w:bCs/>
        </w:rPr>
        <w:t xml:space="preserve">настави и </w:t>
      </w:r>
      <w:r w:rsidR="003810EB">
        <w:rPr>
          <w:b/>
          <w:bCs/>
        </w:rPr>
        <w:t xml:space="preserve">интензивира </w:t>
      </w:r>
      <w:r w:rsidRPr="00AD1534">
        <w:rPr>
          <w:b/>
          <w:bCs/>
        </w:rPr>
        <w:t xml:space="preserve"> напоре да се </w:t>
      </w:r>
      <w:r w:rsidR="003810EB">
        <w:rPr>
          <w:b/>
          <w:bCs/>
        </w:rPr>
        <w:t xml:space="preserve">обезбеди </w:t>
      </w:r>
      <w:r w:rsidRPr="00AD1534">
        <w:rPr>
          <w:b/>
          <w:bCs/>
        </w:rPr>
        <w:t xml:space="preserve"> одговорност за ранија кршења људских права, укључујући јачање сарадње са тужилаштвима у суседним земљама и територијама, чиме би се обезбедило да се оптужени пронађу и да им се суди, као и на основу оптужница подигнутих 2021. и 2022. године против високо рангираних припадника војних снага;</w:t>
      </w:r>
    </w:p>
    <w:p w14:paraId="60150E40" w14:textId="06C80B64" w:rsidR="00AD1534" w:rsidRPr="00AD1534" w:rsidRDefault="003810EB" w:rsidP="004D0D52">
      <w:pPr>
        <w:pStyle w:val="ListParagraph"/>
        <w:numPr>
          <w:ilvl w:val="0"/>
          <w:numId w:val="7"/>
        </w:numPr>
        <w:spacing w:line="240" w:lineRule="auto"/>
        <w:jc w:val="both"/>
        <w:rPr>
          <w:b/>
          <w:bCs/>
        </w:rPr>
      </w:pPr>
      <w:r>
        <w:rPr>
          <w:b/>
          <w:bCs/>
        </w:rPr>
        <w:t>убрза усвајање Нацрта закона о несталим лицима, којим</w:t>
      </w:r>
      <w:r w:rsidR="00AD1534" w:rsidRPr="00AD1534">
        <w:rPr>
          <w:b/>
          <w:bCs/>
        </w:rPr>
        <w:t xml:space="preserve"> би се обезбедио свеобухватан систем за додељивање репарација жртвама, укључујући жртве сексуалног насиља у сукобу;</w:t>
      </w:r>
    </w:p>
    <w:p w14:paraId="22D0A6B6" w14:textId="70D94EF0" w:rsidR="00AD1534" w:rsidRPr="00AD1534" w:rsidRDefault="00AD1534" w:rsidP="004D0D52">
      <w:pPr>
        <w:pStyle w:val="ListParagraph"/>
        <w:numPr>
          <w:ilvl w:val="0"/>
          <w:numId w:val="7"/>
        </w:numPr>
        <w:spacing w:line="240" w:lineRule="auto"/>
        <w:jc w:val="both"/>
        <w:rPr>
          <w:b/>
          <w:bCs/>
        </w:rPr>
      </w:pPr>
      <w:r w:rsidRPr="00AD1534">
        <w:rPr>
          <w:b/>
          <w:bCs/>
        </w:rPr>
        <w:t>унапреди сарадњу са Међународним резидуалним механизмом за крив</w:t>
      </w:r>
      <w:r w:rsidR="003810EB">
        <w:rPr>
          <w:b/>
          <w:bCs/>
        </w:rPr>
        <w:t>ичне судове, укључујући хапшење</w:t>
      </w:r>
      <w:r w:rsidRPr="00AD1534">
        <w:rPr>
          <w:b/>
          <w:bCs/>
        </w:rPr>
        <w:t xml:space="preserve"> и предај</w:t>
      </w:r>
      <w:r w:rsidR="003810EB">
        <w:rPr>
          <w:b/>
          <w:bCs/>
        </w:rPr>
        <w:t>у</w:t>
      </w:r>
      <w:r w:rsidRPr="00AD1534">
        <w:rPr>
          <w:b/>
          <w:bCs/>
        </w:rPr>
        <w:t xml:space="preserve"> лица оптужених од стране Механизма;</w:t>
      </w:r>
    </w:p>
    <w:p w14:paraId="39985874" w14:textId="55012ACA" w:rsidR="00AD1534" w:rsidRPr="00AD1534" w:rsidRDefault="00AD1534" w:rsidP="004D0D52">
      <w:pPr>
        <w:pStyle w:val="ListParagraph"/>
        <w:numPr>
          <w:ilvl w:val="0"/>
          <w:numId w:val="7"/>
        </w:numPr>
        <w:spacing w:line="240" w:lineRule="auto"/>
        <w:jc w:val="both"/>
        <w:rPr>
          <w:b/>
          <w:bCs/>
        </w:rPr>
      </w:pPr>
      <w:r w:rsidRPr="00AD1534">
        <w:rPr>
          <w:b/>
          <w:bCs/>
        </w:rPr>
        <w:t>о</w:t>
      </w:r>
      <w:r w:rsidR="003810EB">
        <w:rPr>
          <w:b/>
          <w:bCs/>
        </w:rPr>
        <w:t xml:space="preserve">безбеди </w:t>
      </w:r>
      <w:r w:rsidRPr="00AD1534">
        <w:rPr>
          <w:b/>
          <w:bCs/>
        </w:rPr>
        <w:t xml:space="preserve">одговорност за порицање ратних злочина, укључујући </w:t>
      </w:r>
      <w:r w:rsidR="003810EB">
        <w:rPr>
          <w:b/>
          <w:bCs/>
        </w:rPr>
        <w:t xml:space="preserve">одговорност </w:t>
      </w:r>
      <w:r w:rsidRPr="00AD1534">
        <w:rPr>
          <w:b/>
          <w:bCs/>
        </w:rPr>
        <w:t>политичара и јавних званичника.</w:t>
      </w:r>
    </w:p>
    <w:p w14:paraId="248626CB" w14:textId="77777777" w:rsidR="00AD1534" w:rsidRPr="00AD1534" w:rsidRDefault="00AD1534" w:rsidP="004D0D52">
      <w:pPr>
        <w:spacing w:line="240" w:lineRule="auto"/>
        <w:jc w:val="both"/>
        <w:rPr>
          <w:b/>
          <w:bCs/>
        </w:rPr>
      </w:pPr>
      <w:r w:rsidRPr="00AD1534">
        <w:rPr>
          <w:b/>
          <w:bCs/>
        </w:rPr>
        <w:t>Забрана мучења и другог окрутног, нечовечног или понижавајућег поступања или кажњавања</w:t>
      </w:r>
    </w:p>
    <w:p w14:paraId="498B0C9E" w14:textId="27719868" w:rsidR="00AD1534" w:rsidRDefault="00AD1534" w:rsidP="004D0D52">
      <w:pPr>
        <w:spacing w:line="240" w:lineRule="auto"/>
        <w:ind w:left="708" w:hanging="708"/>
        <w:jc w:val="both"/>
      </w:pPr>
      <w:r>
        <w:t xml:space="preserve">26. </w:t>
      </w:r>
      <w:r>
        <w:tab/>
        <w:t xml:space="preserve">Поздрављајући усвајање Методологије за истрагу случајева злостављања од стране полиције 2017. године и обуку повезану с Методологијом, и констатујући назнаку државе чланице да делокруг њене примене обухвата и случајеве злостављања од стране </w:t>
      </w:r>
      <w:r w:rsidR="003810EB">
        <w:lastRenderedPageBreak/>
        <w:t xml:space="preserve">полицијских </w:t>
      </w:r>
      <w:r>
        <w:t>службеника, Комитет је забринут због (а) великог броја притужби поднетих у вези са наводним мучењем и злостављањем, посебно од стране полицијских службеника; (б) недостатка примљених информација о предузетим истрагама (ц) ниске стопе гоњења и осуда и благе казне изречене починиоцима, првенствено ограничене на новчане казне; и (д) одсуства информација о репарацијама жртвама. Комитет даље жали што дефиниција мучења у Кривичном законику још увек није у</w:t>
      </w:r>
      <w:r w:rsidR="003810EB">
        <w:t>склађена</w:t>
      </w:r>
      <w:r>
        <w:t xml:space="preserve"> са Пактом и другим међународним стандардима (чл. 2 и 7).</w:t>
      </w:r>
    </w:p>
    <w:p w14:paraId="766FDF30" w14:textId="27EE9C55" w:rsidR="00AD1534" w:rsidRDefault="00AD1534" w:rsidP="004D0D52">
      <w:pPr>
        <w:spacing w:line="240" w:lineRule="auto"/>
        <w:jc w:val="both"/>
      </w:pPr>
      <w:r>
        <w:t xml:space="preserve">27. </w:t>
      </w:r>
      <w:r w:rsidR="00923C9C">
        <w:tab/>
      </w:r>
      <w:r>
        <w:t>Држава чланица треба да:</w:t>
      </w:r>
    </w:p>
    <w:p w14:paraId="3CD233D1" w14:textId="3AE044E5" w:rsidR="00AD1534" w:rsidRPr="00AD1534" w:rsidRDefault="00AD1534" w:rsidP="004D0D52">
      <w:pPr>
        <w:pStyle w:val="ListParagraph"/>
        <w:numPr>
          <w:ilvl w:val="0"/>
          <w:numId w:val="6"/>
        </w:numPr>
        <w:spacing w:line="240" w:lineRule="auto"/>
        <w:jc w:val="both"/>
        <w:rPr>
          <w:b/>
          <w:bCs/>
        </w:rPr>
      </w:pPr>
      <w:r w:rsidRPr="00AD1534">
        <w:rPr>
          <w:b/>
          <w:bCs/>
        </w:rPr>
        <w:t xml:space="preserve">спроведе брзе, темељне и непристрасне истраге о наводима о мучењу и нечовечном и понижавајућем поступању, у складу са Приручником за делотворну истрагу и документовање мучења и другог окрутног, нечовечног или понижавајућег поступања или кажњавања (Истамбулски протокол), чиме се обезбеђује да се починиоци гоне и да, уколико буду проглашени кривим, буду кажњени казнама сразмерним тежини почињеног злочина; </w:t>
      </w:r>
    </w:p>
    <w:p w14:paraId="671AAAAC" w14:textId="00F0A935" w:rsidR="00AD1534" w:rsidRPr="00AD1534" w:rsidRDefault="00AD1534" w:rsidP="004D0D52">
      <w:pPr>
        <w:pStyle w:val="ListParagraph"/>
        <w:numPr>
          <w:ilvl w:val="0"/>
          <w:numId w:val="6"/>
        </w:numPr>
        <w:spacing w:line="240" w:lineRule="auto"/>
        <w:jc w:val="both"/>
        <w:rPr>
          <w:b/>
          <w:bCs/>
        </w:rPr>
      </w:pPr>
      <w:r w:rsidRPr="00AD1534">
        <w:rPr>
          <w:b/>
          <w:bCs/>
        </w:rPr>
        <w:t>осигура да жртве добију пуну репарацију, укључујући адекватну компензацију;</w:t>
      </w:r>
    </w:p>
    <w:p w14:paraId="051268D9" w14:textId="347B6708" w:rsidR="00AD1534" w:rsidRPr="00AD1534" w:rsidRDefault="00AD1534" w:rsidP="004D0D52">
      <w:pPr>
        <w:pStyle w:val="ListParagraph"/>
        <w:numPr>
          <w:ilvl w:val="0"/>
          <w:numId w:val="6"/>
        </w:numPr>
        <w:spacing w:line="240" w:lineRule="auto"/>
        <w:jc w:val="both"/>
        <w:rPr>
          <w:b/>
          <w:bCs/>
        </w:rPr>
      </w:pPr>
      <w:r w:rsidRPr="00AD1534">
        <w:rPr>
          <w:b/>
          <w:bCs/>
        </w:rPr>
        <w:t xml:space="preserve">измени Кривични законик како би </w:t>
      </w:r>
      <w:r w:rsidR="003810EB">
        <w:rPr>
          <w:b/>
          <w:bCs/>
        </w:rPr>
        <w:t xml:space="preserve">садржао </w:t>
      </w:r>
      <w:r w:rsidRPr="00AD1534">
        <w:rPr>
          <w:b/>
          <w:bCs/>
        </w:rPr>
        <w:t>дефиницију мучења која је у потпуности у складу са чланом 7. Пакта и другим међународним стандардима;</w:t>
      </w:r>
    </w:p>
    <w:p w14:paraId="59B240DC" w14:textId="22C4A022" w:rsidR="00AD1534" w:rsidRPr="00AD1534" w:rsidRDefault="00AD1534" w:rsidP="004D0D52">
      <w:pPr>
        <w:pStyle w:val="ListParagraph"/>
        <w:numPr>
          <w:ilvl w:val="0"/>
          <w:numId w:val="6"/>
        </w:numPr>
        <w:spacing w:line="240" w:lineRule="auto"/>
        <w:jc w:val="both"/>
        <w:rPr>
          <w:b/>
          <w:bCs/>
        </w:rPr>
      </w:pPr>
      <w:r w:rsidRPr="00AD1534">
        <w:rPr>
          <w:b/>
          <w:bCs/>
        </w:rPr>
        <w:t xml:space="preserve">појача и прошири мере превенције, укључујући систематско видео и аудио снимање полицијских испитивања и релевантну обуку за судије, тужиоце и све категорије службеника за спровођење закона како би се </w:t>
      </w:r>
      <w:r w:rsidR="003810EB">
        <w:rPr>
          <w:b/>
          <w:bCs/>
        </w:rPr>
        <w:t xml:space="preserve">обезбедило да њихово </w:t>
      </w:r>
      <w:r w:rsidRPr="00AD1534">
        <w:rPr>
          <w:b/>
          <w:bCs/>
        </w:rPr>
        <w:t xml:space="preserve"> </w:t>
      </w:r>
      <w:r w:rsidR="003810EB">
        <w:rPr>
          <w:b/>
          <w:bCs/>
        </w:rPr>
        <w:t xml:space="preserve">поступање буде </w:t>
      </w:r>
      <w:r w:rsidRPr="00AD1534">
        <w:rPr>
          <w:b/>
          <w:bCs/>
        </w:rPr>
        <w:t xml:space="preserve">складу са међународним стандардима као што су Кодекс понашања </w:t>
      </w:r>
      <w:r w:rsidR="00357E8B">
        <w:rPr>
          <w:b/>
          <w:bCs/>
        </w:rPr>
        <w:t xml:space="preserve">полицијских </w:t>
      </w:r>
      <w:r w:rsidRPr="00AD1534">
        <w:rPr>
          <w:b/>
          <w:bCs/>
        </w:rPr>
        <w:t xml:space="preserve">службеника и Принципи ефикасног </w:t>
      </w:r>
      <w:r w:rsidR="00357E8B">
        <w:rPr>
          <w:b/>
          <w:bCs/>
        </w:rPr>
        <w:t>саслушавања</w:t>
      </w:r>
      <w:r w:rsidRPr="00AD1534">
        <w:rPr>
          <w:b/>
          <w:bCs/>
        </w:rPr>
        <w:t xml:space="preserve"> за потребе вођења истрага и прикупљања </w:t>
      </w:r>
      <w:r w:rsidR="00357E8B">
        <w:rPr>
          <w:b/>
          <w:bCs/>
        </w:rPr>
        <w:t>информација (Мендезова начела</w:t>
      </w:r>
      <w:r w:rsidRPr="00AD1534">
        <w:rPr>
          <w:b/>
          <w:bCs/>
        </w:rPr>
        <w:t>).</w:t>
      </w:r>
    </w:p>
    <w:p w14:paraId="11C0ACB5" w14:textId="6A614BA4" w:rsidR="00AD1534" w:rsidRPr="00AD1534" w:rsidRDefault="00AD1534" w:rsidP="004D0D52">
      <w:pPr>
        <w:spacing w:line="240" w:lineRule="auto"/>
        <w:jc w:val="both"/>
        <w:rPr>
          <w:b/>
          <w:bCs/>
        </w:rPr>
      </w:pPr>
      <w:r w:rsidRPr="00AD1534">
        <w:rPr>
          <w:b/>
          <w:bCs/>
        </w:rPr>
        <w:t>Слобода и безбедност личности</w:t>
      </w:r>
    </w:p>
    <w:p w14:paraId="67CB5423" w14:textId="33AF8397" w:rsidR="00923C9C" w:rsidRDefault="00923C9C" w:rsidP="004D0D52">
      <w:pPr>
        <w:spacing w:line="240" w:lineRule="auto"/>
        <w:ind w:left="708" w:hanging="708"/>
        <w:jc w:val="both"/>
      </w:pPr>
      <w:r>
        <w:t xml:space="preserve">28. </w:t>
      </w:r>
      <w:r>
        <w:tab/>
        <w:t>Комитет је забринут због извештаја да се правни оквир који гарантује заштиту за притворена лица не примењује увек у пракси, укључујући случајеве у којима појединцима није дата могућност да имају поверљив разговор са својим адвокатом пре него што буду изведени пред тужиоца, или када им није уручена копија информативног листа у којем су наведена њихова права (чл. 9).</w:t>
      </w:r>
    </w:p>
    <w:p w14:paraId="7E67B653" w14:textId="5B1E9290" w:rsidR="00923C9C" w:rsidRPr="00923C9C" w:rsidRDefault="00923C9C" w:rsidP="004D0D52">
      <w:pPr>
        <w:spacing w:line="240" w:lineRule="auto"/>
        <w:ind w:left="708" w:hanging="708"/>
        <w:jc w:val="both"/>
        <w:rPr>
          <w:b/>
          <w:bCs/>
        </w:rPr>
      </w:pPr>
      <w:r w:rsidRPr="00923C9C">
        <w:rPr>
          <w:b/>
          <w:bCs/>
        </w:rPr>
        <w:t xml:space="preserve">29. </w:t>
      </w:r>
      <w:r>
        <w:rPr>
          <w:b/>
          <w:bCs/>
        </w:rPr>
        <w:tab/>
      </w:r>
      <w:r w:rsidRPr="00923C9C">
        <w:rPr>
          <w:b/>
          <w:bCs/>
        </w:rPr>
        <w:t>Држав</w:t>
      </w:r>
      <w:r w:rsidR="00357E8B">
        <w:rPr>
          <w:b/>
          <w:bCs/>
        </w:rPr>
        <w:t>а чланица треба да осигура да се</w:t>
      </w:r>
      <w:r w:rsidRPr="00923C9C">
        <w:rPr>
          <w:b/>
          <w:bCs/>
        </w:rPr>
        <w:t xml:space="preserve"> у пракси </w:t>
      </w:r>
      <w:r w:rsidR="00357E8B">
        <w:rPr>
          <w:b/>
          <w:bCs/>
        </w:rPr>
        <w:t xml:space="preserve">спроводе сви видови загарантоване </w:t>
      </w:r>
      <w:r w:rsidRPr="00923C9C">
        <w:rPr>
          <w:b/>
          <w:bCs/>
        </w:rPr>
        <w:t>правне заштите за сва притворена лица, у складу са општим коментаром Комитета бр. 35 (2014) о слободи и безбедности личности, укључујући право притвореника на помоћ адвокат од почетка лишења слободе.</w:t>
      </w:r>
    </w:p>
    <w:p w14:paraId="6BCA98C4" w14:textId="77777777" w:rsidR="00923C9C" w:rsidRPr="00923C9C" w:rsidRDefault="00923C9C" w:rsidP="004D0D52">
      <w:pPr>
        <w:spacing w:line="240" w:lineRule="auto"/>
        <w:jc w:val="both"/>
        <w:rPr>
          <w:b/>
          <w:bCs/>
        </w:rPr>
      </w:pPr>
      <w:r w:rsidRPr="00923C9C">
        <w:rPr>
          <w:b/>
          <w:bCs/>
        </w:rPr>
        <w:t>Трговина људима и принудни рад</w:t>
      </w:r>
    </w:p>
    <w:p w14:paraId="565398E7" w14:textId="243624E9" w:rsidR="00923C9C" w:rsidRDefault="00923C9C" w:rsidP="004D0D52">
      <w:pPr>
        <w:spacing w:line="240" w:lineRule="auto"/>
        <w:ind w:left="708" w:hanging="708"/>
        <w:jc w:val="both"/>
      </w:pPr>
      <w:r>
        <w:t xml:space="preserve">30. </w:t>
      </w:r>
      <w:r>
        <w:tab/>
        <w:t>Констатујући кораке које је држава чланица предузела у борби против трговине људима и при</w:t>
      </w:r>
      <w:r w:rsidR="00B10DE5">
        <w:t>нудно</w:t>
      </w:r>
      <w:r>
        <w:t xml:space="preserve">г рада, Комитет је и даље забринут због њихове распрострањености, укључујући децу која су изложена сексуалној експлоатацији и принудном просјачењу, као и радну и сексуалну експлоатацију </w:t>
      </w:r>
      <w:r w:rsidR="00B10DE5">
        <w:t>осетљивих категорија</w:t>
      </w:r>
      <w:r>
        <w:t xml:space="preserve"> миграната, тражилаца азила и избеглица. Узимајући у обзир информације које је делегација доставила у вези са истрагама о наводној трговини људима и радној експлоатацији вијетнамских радника у фабрици гума </w:t>
      </w:r>
      <w:r w:rsidR="00B10DE5">
        <w:t>,,</w:t>
      </w:r>
      <w:r>
        <w:t>Линглонг</w:t>
      </w:r>
      <w:r w:rsidR="00B10DE5">
        <w:t>“</w:t>
      </w:r>
      <w:r>
        <w:t xml:space="preserve">, Комитет је забринут да још увек нису изречене кривичне санкције починиоцима у овом случају, а шире посматрано, да билатерални уговори о раду и сродни споразуми које је држава чланица закључила са трећим </w:t>
      </w:r>
      <w:r w:rsidR="00B10DE5">
        <w:t>земљама не гарантују систематску</w:t>
      </w:r>
      <w:r>
        <w:t xml:space="preserve"> примену </w:t>
      </w:r>
      <w:r w:rsidR="00B10DE5">
        <w:t>радних права</w:t>
      </w:r>
      <w:r>
        <w:t xml:space="preserve"> у складу са међународним стандардима рада. Комитет је такође забринут због наводно недовољних средстава додељених за обезбеђивање делотворне идентификације и помоћи жртвама, укључујући услуге подршке рехабилитацији и реинтеграцији (чл. 3, 7, 8 и 24).</w:t>
      </w:r>
    </w:p>
    <w:p w14:paraId="601DBFF1" w14:textId="7E01D8FF" w:rsidR="00923C9C" w:rsidRPr="00923C9C" w:rsidRDefault="00923C9C" w:rsidP="004D0D52">
      <w:pPr>
        <w:spacing w:line="240" w:lineRule="auto"/>
        <w:jc w:val="both"/>
        <w:rPr>
          <w:b/>
          <w:bCs/>
        </w:rPr>
      </w:pPr>
      <w:r w:rsidRPr="00923C9C">
        <w:rPr>
          <w:b/>
          <w:bCs/>
        </w:rPr>
        <w:lastRenderedPageBreak/>
        <w:t xml:space="preserve">31. </w:t>
      </w:r>
      <w:r>
        <w:rPr>
          <w:b/>
          <w:bCs/>
        </w:rPr>
        <w:tab/>
      </w:r>
      <w:r w:rsidRPr="00923C9C">
        <w:rPr>
          <w:b/>
          <w:bCs/>
        </w:rPr>
        <w:t>Држава чланица треба да:</w:t>
      </w:r>
    </w:p>
    <w:p w14:paraId="70595B36" w14:textId="16C27B2F" w:rsidR="00923C9C" w:rsidRPr="00923C9C" w:rsidRDefault="00923C9C" w:rsidP="004D0D52">
      <w:pPr>
        <w:pStyle w:val="ListParagraph"/>
        <w:numPr>
          <w:ilvl w:val="0"/>
          <w:numId w:val="9"/>
        </w:numPr>
        <w:spacing w:line="240" w:lineRule="auto"/>
        <w:jc w:val="both"/>
        <w:rPr>
          <w:b/>
          <w:bCs/>
        </w:rPr>
      </w:pPr>
      <w:r w:rsidRPr="00923C9C">
        <w:rPr>
          <w:b/>
          <w:bCs/>
        </w:rPr>
        <w:t>појача напоре на систематском идентификовању, спречавању и борби против трговине људима међу мигрантима, избеглицама и тражиоцима азила, посебно међу групама са повећаним ризиком, као што су деца без пратње и раздвојена деца;</w:t>
      </w:r>
    </w:p>
    <w:p w14:paraId="2F0D1E94" w14:textId="1B7BC3EF" w:rsidR="00923C9C" w:rsidRPr="00923C9C" w:rsidRDefault="00923C9C" w:rsidP="004D0D52">
      <w:pPr>
        <w:pStyle w:val="ListParagraph"/>
        <w:numPr>
          <w:ilvl w:val="0"/>
          <w:numId w:val="9"/>
        </w:numPr>
        <w:spacing w:line="240" w:lineRule="auto"/>
        <w:jc w:val="both"/>
        <w:rPr>
          <w:b/>
          <w:bCs/>
        </w:rPr>
      </w:pPr>
      <w:r w:rsidRPr="00923C9C">
        <w:rPr>
          <w:b/>
          <w:bCs/>
        </w:rPr>
        <w:t>појача мере за идентификацију и борбу против дечијег рада, укључујући и рад деце на улици и обезбеди адекватне капацитете служби заштите;</w:t>
      </w:r>
    </w:p>
    <w:p w14:paraId="255AE643" w14:textId="60A72B54" w:rsidR="00923C9C" w:rsidRPr="00923C9C" w:rsidRDefault="00923C9C" w:rsidP="004D0D52">
      <w:pPr>
        <w:pStyle w:val="ListParagraph"/>
        <w:numPr>
          <w:ilvl w:val="0"/>
          <w:numId w:val="9"/>
        </w:numPr>
        <w:spacing w:line="240" w:lineRule="auto"/>
        <w:jc w:val="both"/>
        <w:rPr>
          <w:b/>
          <w:bCs/>
        </w:rPr>
      </w:pPr>
      <w:r w:rsidRPr="00923C9C">
        <w:rPr>
          <w:b/>
          <w:bCs/>
        </w:rPr>
        <w:t xml:space="preserve">појача режим укључивања инспекције рада, како би се осигурало делотворно регулисање агенција за запошљавање и повећала транспарентност и надзор билатералних споразума које је држава чланица закључила са трећим земљама, </w:t>
      </w:r>
      <w:r w:rsidR="00B10DE5">
        <w:rPr>
          <w:b/>
          <w:bCs/>
        </w:rPr>
        <w:t xml:space="preserve">омогућујући </w:t>
      </w:r>
      <w:r w:rsidRPr="00923C9C">
        <w:rPr>
          <w:b/>
          <w:bCs/>
        </w:rPr>
        <w:t>Инспек</w:t>
      </w:r>
      <w:r w:rsidR="00B10DE5">
        <w:rPr>
          <w:b/>
          <w:bCs/>
        </w:rPr>
        <w:t xml:space="preserve">цији </w:t>
      </w:r>
      <w:r w:rsidRPr="00923C9C">
        <w:rPr>
          <w:b/>
          <w:bCs/>
        </w:rPr>
        <w:t xml:space="preserve">рада </w:t>
      </w:r>
      <w:r w:rsidR="00B10DE5">
        <w:rPr>
          <w:b/>
          <w:bCs/>
        </w:rPr>
        <w:t xml:space="preserve">да </w:t>
      </w:r>
      <w:r w:rsidRPr="00923C9C">
        <w:rPr>
          <w:b/>
          <w:bCs/>
        </w:rPr>
        <w:t xml:space="preserve">задржи </w:t>
      </w:r>
      <w:r w:rsidR="00B10DE5">
        <w:rPr>
          <w:b/>
          <w:bCs/>
        </w:rPr>
        <w:t xml:space="preserve">могућност и да има капацитете </w:t>
      </w:r>
      <w:r w:rsidRPr="00923C9C">
        <w:rPr>
          <w:b/>
          <w:bCs/>
        </w:rPr>
        <w:t xml:space="preserve">да спроводи </w:t>
      </w:r>
      <w:r w:rsidR="00B10DE5">
        <w:rPr>
          <w:b/>
          <w:bCs/>
        </w:rPr>
        <w:t xml:space="preserve">национално </w:t>
      </w:r>
      <w:r w:rsidRPr="00923C9C">
        <w:rPr>
          <w:b/>
          <w:bCs/>
        </w:rPr>
        <w:t>радно законодавство у складу са релевантним међународним стандардима;</w:t>
      </w:r>
    </w:p>
    <w:p w14:paraId="2B4071A8" w14:textId="24055603" w:rsidR="00923C9C" w:rsidRPr="00923C9C" w:rsidRDefault="00923C9C" w:rsidP="004D0D52">
      <w:pPr>
        <w:pStyle w:val="ListParagraph"/>
        <w:numPr>
          <w:ilvl w:val="0"/>
          <w:numId w:val="9"/>
        </w:numPr>
        <w:spacing w:line="240" w:lineRule="auto"/>
        <w:jc w:val="both"/>
        <w:rPr>
          <w:b/>
          <w:bCs/>
        </w:rPr>
      </w:pPr>
      <w:r w:rsidRPr="00923C9C">
        <w:rPr>
          <w:b/>
          <w:bCs/>
        </w:rPr>
        <w:t>осигура да се сви случајеви трговине људима детаљно истраже и да починиоци, уколико буду осуђени, добију адекватну и одвраћајућу казну, те да жртве имају приступ ефикасним правним лековима и помоћи, укључујући услуге подршке рехабилитацији и реинтеграцији;</w:t>
      </w:r>
    </w:p>
    <w:p w14:paraId="62550149" w14:textId="0C6D3251" w:rsidR="00923C9C" w:rsidRPr="00923C9C" w:rsidRDefault="00923C9C" w:rsidP="004D0D52">
      <w:pPr>
        <w:pStyle w:val="ListParagraph"/>
        <w:numPr>
          <w:ilvl w:val="0"/>
          <w:numId w:val="9"/>
        </w:numPr>
        <w:spacing w:line="240" w:lineRule="auto"/>
        <w:jc w:val="both"/>
        <w:rPr>
          <w:b/>
          <w:bCs/>
        </w:rPr>
      </w:pPr>
      <w:r w:rsidRPr="00923C9C">
        <w:rPr>
          <w:b/>
          <w:bCs/>
        </w:rPr>
        <w:t xml:space="preserve">обезбеди </w:t>
      </w:r>
      <w:r w:rsidR="00B10DE5">
        <w:rPr>
          <w:b/>
          <w:bCs/>
        </w:rPr>
        <w:t>одговарајућа средства</w:t>
      </w:r>
      <w:r w:rsidRPr="00923C9C">
        <w:rPr>
          <w:b/>
          <w:bCs/>
        </w:rPr>
        <w:t xml:space="preserve"> за спровођење свог Програма за борбу против трговине људима (2024-2029), укључујући и адекватне ресурсе Центра за заштиту жртава трговине људима;</w:t>
      </w:r>
    </w:p>
    <w:p w14:paraId="721F43C1" w14:textId="5DE311AC" w:rsidR="00923C9C" w:rsidRPr="00923C9C" w:rsidRDefault="00D52058" w:rsidP="004D0D52">
      <w:pPr>
        <w:pStyle w:val="ListParagraph"/>
        <w:numPr>
          <w:ilvl w:val="0"/>
          <w:numId w:val="9"/>
        </w:numPr>
        <w:spacing w:line="240" w:lineRule="auto"/>
        <w:jc w:val="both"/>
        <w:rPr>
          <w:b/>
          <w:bCs/>
        </w:rPr>
      </w:pPr>
      <w:r>
        <w:rPr>
          <w:b/>
          <w:bCs/>
        </w:rPr>
        <w:t>настави са плановима за и</w:t>
      </w:r>
      <w:r w:rsidR="00923C9C" w:rsidRPr="00923C9C">
        <w:rPr>
          <w:b/>
          <w:bCs/>
        </w:rPr>
        <w:t>зраду и усвајање посебног закона о борби против трговине људима, уз блиске консултације са свим релевантним актерима.</w:t>
      </w:r>
    </w:p>
    <w:p w14:paraId="34773515" w14:textId="77777777" w:rsidR="00923C9C" w:rsidRPr="00923C9C" w:rsidRDefault="00923C9C" w:rsidP="004D0D52">
      <w:pPr>
        <w:spacing w:line="240" w:lineRule="auto"/>
        <w:jc w:val="both"/>
        <w:rPr>
          <w:b/>
          <w:bCs/>
        </w:rPr>
      </w:pPr>
      <w:r w:rsidRPr="00923C9C">
        <w:rPr>
          <w:b/>
          <w:bCs/>
        </w:rPr>
        <w:t>Тражиоци азила и забрана протеривања</w:t>
      </w:r>
    </w:p>
    <w:p w14:paraId="5C3C24BE" w14:textId="618A5331" w:rsidR="00923C9C" w:rsidRDefault="00923C9C" w:rsidP="004D0D52">
      <w:pPr>
        <w:spacing w:line="240" w:lineRule="auto"/>
        <w:ind w:left="708" w:hanging="708"/>
        <w:jc w:val="both"/>
      </w:pPr>
      <w:r>
        <w:t xml:space="preserve">32. </w:t>
      </w:r>
      <w:r>
        <w:tab/>
        <w:t xml:space="preserve">Иако поздравља мере предузете да би се олакшао улазак и привремена заштита за све особе којима је потребна међународна заштита која беже од сукоба у Украјини, као и значајан напредак у решавању питања апатридије </w:t>
      </w:r>
      <w:r w:rsidR="00D52058">
        <w:t>у</w:t>
      </w:r>
      <w:r>
        <w:t xml:space="preserve"> ромско</w:t>
      </w:r>
      <w:r w:rsidR="00D52058">
        <w:t>ј</w:t>
      </w:r>
      <w:r>
        <w:t xml:space="preserve"> заједниц</w:t>
      </w:r>
      <w:r w:rsidR="00D52058">
        <w:t>и</w:t>
      </w:r>
      <w:r>
        <w:t xml:space="preserve">, Комитет је забринут због извештаја о </w:t>
      </w:r>
      <w:r w:rsidR="00D52058">
        <w:t xml:space="preserve">пропусту </w:t>
      </w:r>
      <w:r>
        <w:t xml:space="preserve">да се обезбеди делотворан приступ процедурама за добијање азила, укључујући (а) наводна одбијања и злостављање на копненим границама; (б) пропуст да се омогући приступ </w:t>
      </w:r>
      <w:r w:rsidR="00D52058">
        <w:t xml:space="preserve">процедури поступка </w:t>
      </w:r>
      <w:r>
        <w:t xml:space="preserve">азила за лица којима је </w:t>
      </w:r>
      <w:r w:rsidR="00D52058">
        <w:t xml:space="preserve">улазак у земљу </w:t>
      </w:r>
      <w:r>
        <w:t>одбијен</w:t>
      </w:r>
      <w:r w:rsidR="00D52058">
        <w:t xml:space="preserve"> на међународним аеродромима</w:t>
      </w:r>
      <w:r>
        <w:t xml:space="preserve"> и њихово касније де факто задржавање у аеродромским транзитним зонама; и (ц) пропусте </w:t>
      </w:r>
      <w:r w:rsidR="0071710D">
        <w:t>у процедурама који резултирају</w:t>
      </w:r>
      <w:r>
        <w:t xml:space="preserve"> изручењем без одобрења захтева за привремене мере заштите. Комитет је такође забринут због извештаја који указују на то да услови у неким прихватним центрима за </w:t>
      </w:r>
      <w:r w:rsidR="0071710D">
        <w:t xml:space="preserve">тражиоце </w:t>
      </w:r>
      <w:r>
        <w:t>азил</w:t>
      </w:r>
      <w:r w:rsidR="0071710D">
        <w:t>а</w:t>
      </w:r>
      <w:r>
        <w:t xml:space="preserve"> не одговарају међународним стандардима и да не постоје одговарајући поступци за одређивање узраста деце која траже азил (чл. 6-7, 9, 13 и 24).</w:t>
      </w:r>
    </w:p>
    <w:p w14:paraId="0A5A7D1F" w14:textId="4E2BB66A" w:rsidR="00923C9C" w:rsidRPr="00923C9C" w:rsidRDefault="00923C9C" w:rsidP="004D0D52">
      <w:pPr>
        <w:spacing w:line="240" w:lineRule="auto"/>
        <w:ind w:left="360" w:hanging="360"/>
        <w:jc w:val="both"/>
        <w:rPr>
          <w:b/>
          <w:bCs/>
        </w:rPr>
      </w:pPr>
      <w:r w:rsidRPr="00923C9C">
        <w:rPr>
          <w:b/>
          <w:bCs/>
        </w:rPr>
        <w:t xml:space="preserve">33. </w:t>
      </w:r>
      <w:r>
        <w:rPr>
          <w:b/>
          <w:bCs/>
        </w:rPr>
        <w:tab/>
      </w:r>
      <w:r w:rsidRPr="00923C9C">
        <w:rPr>
          <w:b/>
          <w:bCs/>
        </w:rPr>
        <w:t>Држава чланица треба да обезбеди поштовање принципа забране протеривања тако што ће обезбедити да:</w:t>
      </w:r>
    </w:p>
    <w:p w14:paraId="4C7EB78C" w14:textId="418C5936" w:rsidR="00923C9C" w:rsidRPr="00923C9C" w:rsidRDefault="00923C9C" w:rsidP="004D0D52">
      <w:pPr>
        <w:pStyle w:val="ListParagraph"/>
        <w:numPr>
          <w:ilvl w:val="0"/>
          <w:numId w:val="8"/>
        </w:numPr>
        <w:spacing w:line="240" w:lineRule="auto"/>
        <w:jc w:val="both"/>
        <w:rPr>
          <w:b/>
          <w:bCs/>
        </w:rPr>
      </w:pPr>
      <w:r w:rsidRPr="00923C9C">
        <w:rPr>
          <w:b/>
          <w:bCs/>
        </w:rPr>
        <w:t>тражиоци азила и било која особа којој је потребна међународна заштита не буду депор</w:t>
      </w:r>
      <w:r w:rsidR="0071710D">
        <w:rPr>
          <w:b/>
          <w:bCs/>
        </w:rPr>
        <w:t>товани, протерани или изручени</w:t>
      </w:r>
      <w:r w:rsidRPr="00923C9C">
        <w:rPr>
          <w:b/>
          <w:bCs/>
        </w:rPr>
        <w:t xml:space="preserve"> земљ</w:t>
      </w:r>
      <w:r w:rsidR="0071710D">
        <w:rPr>
          <w:b/>
          <w:bCs/>
        </w:rPr>
        <w:t>и</w:t>
      </w:r>
      <w:r w:rsidRPr="00923C9C">
        <w:rPr>
          <w:b/>
          <w:bCs/>
        </w:rPr>
        <w:t xml:space="preserve"> </w:t>
      </w:r>
      <w:r w:rsidR="0071710D">
        <w:rPr>
          <w:b/>
          <w:bCs/>
        </w:rPr>
        <w:t>за коју</w:t>
      </w:r>
      <w:r w:rsidRPr="00923C9C">
        <w:rPr>
          <w:b/>
          <w:bCs/>
        </w:rPr>
        <w:t xml:space="preserve"> постоје суштински разлоз</w:t>
      </w:r>
      <w:r w:rsidR="0071710D">
        <w:rPr>
          <w:b/>
          <w:bCs/>
        </w:rPr>
        <w:t>и да се верује у постојање реалног ризика о</w:t>
      </w:r>
      <w:r w:rsidRPr="00923C9C">
        <w:rPr>
          <w:b/>
          <w:bCs/>
        </w:rPr>
        <w:t>д непоправљиве штете, као што је она наведена у члановима 6 и 7 Пакта;</w:t>
      </w:r>
    </w:p>
    <w:p w14:paraId="345452EC" w14:textId="2F64A790" w:rsidR="00923C9C" w:rsidRPr="00923C9C" w:rsidRDefault="00923C9C" w:rsidP="004D0D52">
      <w:pPr>
        <w:pStyle w:val="ListParagraph"/>
        <w:numPr>
          <w:ilvl w:val="0"/>
          <w:numId w:val="8"/>
        </w:numPr>
        <w:spacing w:line="240" w:lineRule="auto"/>
        <w:jc w:val="both"/>
        <w:rPr>
          <w:b/>
          <w:bCs/>
        </w:rPr>
      </w:pPr>
      <w:r w:rsidRPr="00923C9C">
        <w:rPr>
          <w:b/>
          <w:bCs/>
        </w:rPr>
        <w:t xml:space="preserve">тражиоци азила информације о праву </w:t>
      </w:r>
      <w:r w:rsidR="0071710D">
        <w:rPr>
          <w:b/>
          <w:bCs/>
        </w:rPr>
        <w:t>и поступку тражења</w:t>
      </w:r>
      <w:r w:rsidRPr="00923C9C">
        <w:rPr>
          <w:b/>
          <w:bCs/>
        </w:rPr>
        <w:t xml:space="preserve"> азил</w:t>
      </w:r>
      <w:r w:rsidR="0071710D">
        <w:rPr>
          <w:b/>
          <w:bCs/>
        </w:rPr>
        <w:t>а</w:t>
      </w:r>
      <w:r w:rsidRPr="00923C9C">
        <w:rPr>
          <w:b/>
          <w:bCs/>
        </w:rPr>
        <w:t xml:space="preserve"> </w:t>
      </w:r>
      <w:r w:rsidR="0071710D">
        <w:rPr>
          <w:b/>
          <w:bCs/>
        </w:rPr>
        <w:t xml:space="preserve">добију </w:t>
      </w:r>
      <w:r w:rsidRPr="00923C9C">
        <w:rPr>
          <w:b/>
          <w:bCs/>
        </w:rPr>
        <w:t>на језику који разумеју и да се за све молбе за азил врши индивидуална процена;</w:t>
      </w:r>
    </w:p>
    <w:p w14:paraId="21FDF224" w14:textId="4C6FA5B9" w:rsidR="00923C9C" w:rsidRPr="00923C9C" w:rsidRDefault="00923C9C" w:rsidP="004D0D52">
      <w:pPr>
        <w:pStyle w:val="ListParagraph"/>
        <w:numPr>
          <w:ilvl w:val="0"/>
          <w:numId w:val="8"/>
        </w:numPr>
        <w:spacing w:line="240" w:lineRule="auto"/>
        <w:jc w:val="both"/>
        <w:rPr>
          <w:b/>
          <w:bCs/>
        </w:rPr>
      </w:pPr>
      <w:r w:rsidRPr="00923C9C">
        <w:rPr>
          <w:b/>
          <w:bCs/>
        </w:rPr>
        <w:t>тражиоци азила имају ефикасан приступ жалбеном поступку који је у складу са међун</w:t>
      </w:r>
      <w:r w:rsidR="00312972">
        <w:rPr>
          <w:b/>
          <w:bCs/>
        </w:rPr>
        <w:t>ародним стандардима, укључујући могућност</w:t>
      </w:r>
      <w:r w:rsidRPr="00923C9C">
        <w:rPr>
          <w:b/>
          <w:bCs/>
        </w:rPr>
        <w:t xml:space="preserve"> да поднете жалбе имају </w:t>
      </w:r>
      <w:r w:rsidR="00312972">
        <w:rPr>
          <w:b/>
          <w:bCs/>
        </w:rPr>
        <w:t>ефекат одглагања</w:t>
      </w:r>
      <w:r w:rsidRPr="00923C9C">
        <w:rPr>
          <w:b/>
          <w:bCs/>
        </w:rPr>
        <w:t xml:space="preserve"> на поступке депортације, протеривања и изручивања;</w:t>
      </w:r>
    </w:p>
    <w:p w14:paraId="263F10B8" w14:textId="7D16960C" w:rsidR="00923C9C" w:rsidRPr="00923C9C" w:rsidRDefault="00923C9C" w:rsidP="004D0D52">
      <w:pPr>
        <w:pStyle w:val="ListParagraph"/>
        <w:numPr>
          <w:ilvl w:val="0"/>
          <w:numId w:val="8"/>
        </w:numPr>
        <w:spacing w:line="240" w:lineRule="auto"/>
        <w:jc w:val="both"/>
        <w:rPr>
          <w:b/>
          <w:bCs/>
        </w:rPr>
      </w:pPr>
      <w:r w:rsidRPr="00923C9C">
        <w:rPr>
          <w:b/>
          <w:bCs/>
        </w:rPr>
        <w:t xml:space="preserve">сви релевантни </w:t>
      </w:r>
      <w:r w:rsidR="00312972">
        <w:rPr>
          <w:b/>
          <w:bCs/>
        </w:rPr>
        <w:t>службеници</w:t>
      </w:r>
      <w:r w:rsidRPr="00923C9C">
        <w:rPr>
          <w:b/>
          <w:bCs/>
        </w:rPr>
        <w:t xml:space="preserve">, укључујући граничне службе, прођу адекватну обуку о међународним стандардима, укључујући принцип забране протеривања и да се све </w:t>
      </w:r>
      <w:r w:rsidRPr="00923C9C">
        <w:rPr>
          <w:b/>
          <w:bCs/>
        </w:rPr>
        <w:lastRenderedPageBreak/>
        <w:t>оптужбе о одбијању и злостављању одмах, темељно и независно истраже, а да починиоци, уколико се утврди да су криви, буду на одговарајући начин кажњени;</w:t>
      </w:r>
    </w:p>
    <w:p w14:paraId="5C711AD0" w14:textId="36D90609" w:rsidR="00923C9C" w:rsidRPr="00923C9C" w:rsidRDefault="00923C9C" w:rsidP="004D0D52">
      <w:pPr>
        <w:pStyle w:val="ListParagraph"/>
        <w:numPr>
          <w:ilvl w:val="0"/>
          <w:numId w:val="8"/>
        </w:numPr>
        <w:spacing w:line="240" w:lineRule="auto"/>
        <w:jc w:val="both"/>
        <w:rPr>
          <w:b/>
          <w:bCs/>
        </w:rPr>
      </w:pPr>
      <w:r w:rsidRPr="00923C9C">
        <w:rPr>
          <w:b/>
          <w:bCs/>
        </w:rPr>
        <w:t>услови у свим прихватним центрима за азил буду у складу са међународним стандардима;</w:t>
      </w:r>
    </w:p>
    <w:p w14:paraId="7A1E91B3" w14:textId="3EC96993" w:rsidR="00923C9C" w:rsidRPr="00923C9C" w:rsidRDefault="00923C9C" w:rsidP="004D0D52">
      <w:pPr>
        <w:pStyle w:val="ListParagraph"/>
        <w:numPr>
          <w:ilvl w:val="0"/>
          <w:numId w:val="8"/>
        </w:numPr>
        <w:spacing w:line="240" w:lineRule="auto"/>
        <w:jc w:val="both"/>
        <w:rPr>
          <w:b/>
          <w:bCs/>
        </w:rPr>
      </w:pPr>
      <w:r w:rsidRPr="00923C9C">
        <w:rPr>
          <w:b/>
          <w:bCs/>
        </w:rPr>
        <w:t>поступак утврђивања старости деце која траже азил буде у складу са међународним стандардима.</w:t>
      </w:r>
    </w:p>
    <w:p w14:paraId="4997DFA8" w14:textId="77777777" w:rsidR="00923C9C" w:rsidRPr="00923C9C" w:rsidRDefault="00923C9C" w:rsidP="004D0D52">
      <w:pPr>
        <w:spacing w:line="240" w:lineRule="auto"/>
        <w:jc w:val="both"/>
        <w:rPr>
          <w:b/>
          <w:bCs/>
        </w:rPr>
      </w:pPr>
      <w:r w:rsidRPr="00923C9C">
        <w:rPr>
          <w:b/>
          <w:bCs/>
        </w:rPr>
        <w:t>Независност судства</w:t>
      </w:r>
    </w:p>
    <w:p w14:paraId="787B149F" w14:textId="32B90C8D" w:rsidR="008708D2" w:rsidRPr="00D743D9" w:rsidRDefault="008708D2" w:rsidP="004D0D52">
      <w:pPr>
        <w:spacing w:line="240" w:lineRule="auto"/>
        <w:ind w:left="708" w:hanging="708"/>
        <w:jc w:val="both"/>
      </w:pPr>
      <w:r w:rsidRPr="00D743D9">
        <w:t xml:space="preserve">34. </w:t>
      </w:r>
      <w:r>
        <w:tab/>
      </w:r>
      <w:r w:rsidRPr="00D743D9">
        <w:t>Поздрављајући недавне уставне и законодавне реформе за јачање сектора правосу</w:t>
      </w:r>
      <w:r>
        <w:t>ђа</w:t>
      </w:r>
      <w:r w:rsidRPr="00D743D9">
        <w:t xml:space="preserve">, укључујући мере за јачање независности </w:t>
      </w:r>
      <w:r>
        <w:t>судства</w:t>
      </w:r>
      <w:r w:rsidRPr="00D743D9">
        <w:t xml:space="preserve"> и јавног тужилаштва, Комитет је забринут што тужиоци немају већину гласова у новооснованом Високом савету тужила</w:t>
      </w:r>
      <w:r>
        <w:t>штв</w:t>
      </w:r>
      <w:r w:rsidRPr="00D743D9">
        <w:t>а, што може угрозити ње</w:t>
      </w:r>
      <w:r>
        <w:t>гову</w:t>
      </w:r>
      <w:r w:rsidRPr="00D743D9">
        <w:t xml:space="preserve"> независност (чл. 14).</w:t>
      </w:r>
    </w:p>
    <w:p w14:paraId="24D31F02" w14:textId="002338B8" w:rsidR="008708D2" w:rsidRPr="008708D2" w:rsidRDefault="008708D2" w:rsidP="004D0D52">
      <w:pPr>
        <w:spacing w:line="240" w:lineRule="auto"/>
        <w:ind w:left="708" w:hanging="708"/>
        <w:jc w:val="both"/>
        <w:rPr>
          <w:b/>
          <w:bCs/>
        </w:rPr>
      </w:pPr>
      <w:r w:rsidRPr="008708D2">
        <w:rPr>
          <w:b/>
          <w:bCs/>
        </w:rPr>
        <w:t xml:space="preserve">35. </w:t>
      </w:r>
      <w:r w:rsidRPr="008708D2">
        <w:rPr>
          <w:b/>
          <w:bCs/>
        </w:rPr>
        <w:tab/>
        <w:t>Држава чланица треба да обезбеди делотворну примену мера заштите независности судства и јавног тужилаштва садржаних у недавно усвојеним уставним и законодавним реформама, у складу са чланом 14. Пакта и релевантним међународним стандардима, као и да размотри измене постојећег оквира, како би се обезбедило да тужиоци имају већину гласова у новооснованом Високом савету тужилаштва.</w:t>
      </w:r>
    </w:p>
    <w:p w14:paraId="52596452" w14:textId="77777777" w:rsidR="008708D2" w:rsidRPr="008708D2" w:rsidRDefault="008708D2" w:rsidP="004D0D52">
      <w:pPr>
        <w:spacing w:line="240" w:lineRule="auto"/>
        <w:jc w:val="both"/>
        <w:rPr>
          <w:b/>
          <w:bCs/>
        </w:rPr>
      </w:pPr>
      <w:r w:rsidRPr="008708D2">
        <w:rPr>
          <w:b/>
          <w:bCs/>
        </w:rPr>
        <w:t xml:space="preserve">Право на приватност </w:t>
      </w:r>
    </w:p>
    <w:p w14:paraId="4A6A7A66" w14:textId="3E7873B8" w:rsidR="008708D2" w:rsidRPr="00D743D9" w:rsidRDefault="008708D2" w:rsidP="004D0D52">
      <w:pPr>
        <w:spacing w:line="240" w:lineRule="auto"/>
        <w:ind w:left="708" w:hanging="708"/>
        <w:jc w:val="both"/>
      </w:pPr>
      <w:r w:rsidRPr="00D743D9">
        <w:t xml:space="preserve">36. </w:t>
      </w:r>
      <w:r>
        <w:tab/>
      </w:r>
      <w:r w:rsidRPr="00D743D9">
        <w:t xml:space="preserve">Комитет је забринут </w:t>
      </w:r>
      <w:r w:rsidR="00571027">
        <w:t xml:space="preserve">због </w:t>
      </w:r>
      <w:r w:rsidR="00312972">
        <w:t xml:space="preserve">тога што </w:t>
      </w:r>
      <w:r w:rsidRPr="00D743D9">
        <w:t xml:space="preserve"> нацрт закона којим се уводи масовни биометријски надзор путем технологије препознавања лица можда није компатибилан са правом на приватност загарантованим чланом 17. Пакта, посебно у погледу критеријума неопходности и </w:t>
      </w:r>
      <w:r w:rsidR="00312972">
        <w:t>сразмерности</w:t>
      </w:r>
      <w:r w:rsidRPr="00D743D9">
        <w:t xml:space="preserve">. Комитет је такође забринут због недостатка информација које је држава чланица </w:t>
      </w:r>
      <w:r w:rsidR="00312972">
        <w:t>доставила</w:t>
      </w:r>
      <w:r>
        <w:t xml:space="preserve"> </w:t>
      </w:r>
      <w:r w:rsidRPr="00D743D9">
        <w:t xml:space="preserve">у вези са правним мерама заштите које се односе на њен режим надзора, укључујући онлајн, као што су независни механизми надзора и судска </w:t>
      </w:r>
      <w:r w:rsidR="00D707AB">
        <w:t>заштита</w:t>
      </w:r>
      <w:r w:rsidRPr="00D743D9">
        <w:t xml:space="preserve">. Комитет је такође забринут због извештаја о подацима </w:t>
      </w:r>
      <w:r w:rsidR="00312972">
        <w:t xml:space="preserve">о личности </w:t>
      </w:r>
      <w:r w:rsidRPr="00D743D9">
        <w:t xml:space="preserve">из кривичних истрага које су </w:t>
      </w:r>
      <w:r w:rsidR="00312972">
        <w:t xml:space="preserve">од органа </w:t>
      </w:r>
      <w:r w:rsidRPr="00D743D9">
        <w:t>власти процуриле у одређене медије</w:t>
      </w:r>
      <w:r>
        <w:t>,</w:t>
      </w:r>
      <w:r w:rsidRPr="00D743D9">
        <w:t xml:space="preserve"> и жали због недостатка информација које је држава чланица </w:t>
      </w:r>
      <w:r>
        <w:t>пружила</w:t>
      </w:r>
      <w:r w:rsidRPr="00D743D9">
        <w:t xml:space="preserve"> у том погледу (чл. 2, 17 и 26).</w:t>
      </w:r>
    </w:p>
    <w:p w14:paraId="71E6885F" w14:textId="3EA87E1D" w:rsidR="008708D2" w:rsidRPr="008708D2" w:rsidRDefault="008708D2" w:rsidP="004D0D52">
      <w:pPr>
        <w:spacing w:line="240" w:lineRule="auto"/>
        <w:ind w:left="708" w:hanging="708"/>
        <w:jc w:val="both"/>
        <w:rPr>
          <w:b/>
          <w:bCs/>
        </w:rPr>
      </w:pPr>
      <w:r w:rsidRPr="008708D2">
        <w:rPr>
          <w:b/>
          <w:bCs/>
        </w:rPr>
        <w:t xml:space="preserve">37. </w:t>
      </w:r>
      <w:r w:rsidRPr="008708D2">
        <w:rPr>
          <w:b/>
          <w:bCs/>
        </w:rPr>
        <w:tab/>
        <w:t xml:space="preserve">Држава чланица треба да обезбеди да нацрт закона о увођењу масовног биометријског надзора буде у потпуности компатибилан са Пактом, посебно са чланом 17, као и да обезбеди да се </w:t>
      </w:r>
      <w:r w:rsidR="00312972">
        <w:rPr>
          <w:b/>
          <w:bCs/>
        </w:rPr>
        <w:t>тај закон</w:t>
      </w:r>
      <w:r w:rsidRPr="008708D2">
        <w:rPr>
          <w:b/>
          <w:bCs/>
        </w:rPr>
        <w:t xml:space="preserve"> изради путем инклузивног и партиципативног процеса који </w:t>
      </w:r>
      <w:r w:rsidR="00312972">
        <w:rPr>
          <w:b/>
          <w:bCs/>
        </w:rPr>
        <w:t>обухвата</w:t>
      </w:r>
      <w:r w:rsidRPr="008708D2">
        <w:rPr>
          <w:b/>
          <w:bCs/>
        </w:rPr>
        <w:t xml:space="preserve"> све релевантне заинтересоване стране, укључујући Заштитника грађана и организације цивилног друштва. Држава чланица треба да </w:t>
      </w:r>
      <w:r w:rsidR="00312972">
        <w:rPr>
          <w:b/>
          <w:bCs/>
        </w:rPr>
        <w:t>се постара</w:t>
      </w:r>
      <w:r w:rsidRPr="008708D2">
        <w:rPr>
          <w:b/>
          <w:bCs/>
        </w:rPr>
        <w:t xml:space="preserve"> да су успостављене адекватне правне гаранције у вези са њеним режимом надзора, укључујући и онлајн, путем, између осталог, судске </w:t>
      </w:r>
      <w:r w:rsidR="00D707AB">
        <w:rPr>
          <w:b/>
          <w:bCs/>
        </w:rPr>
        <w:t>заштите</w:t>
      </w:r>
      <w:r w:rsidRPr="008708D2">
        <w:rPr>
          <w:b/>
          <w:bCs/>
        </w:rPr>
        <w:t xml:space="preserve">; да обезбеди поверљивост података </w:t>
      </w:r>
      <w:r w:rsidR="00540D95">
        <w:rPr>
          <w:b/>
          <w:bCs/>
        </w:rPr>
        <w:t xml:space="preserve">о личности </w:t>
      </w:r>
      <w:r w:rsidRPr="008708D2">
        <w:rPr>
          <w:b/>
          <w:bCs/>
        </w:rPr>
        <w:t>прикупљених у контексту кривичних истрага и да</w:t>
      </w:r>
      <w:r w:rsidR="00540D95">
        <w:rPr>
          <w:b/>
          <w:bCs/>
        </w:rPr>
        <w:t xml:space="preserve"> се</w:t>
      </w:r>
      <w:r w:rsidRPr="008708D2">
        <w:rPr>
          <w:b/>
          <w:bCs/>
        </w:rPr>
        <w:t xml:space="preserve"> у</w:t>
      </w:r>
      <w:r w:rsidR="00540D95">
        <w:rPr>
          <w:b/>
          <w:bCs/>
        </w:rPr>
        <w:t xml:space="preserve"> потпуности и независно истраже извештаји</w:t>
      </w:r>
      <w:r w:rsidRPr="008708D2">
        <w:rPr>
          <w:b/>
          <w:bCs/>
        </w:rPr>
        <w:t xml:space="preserve"> о подацима </w:t>
      </w:r>
      <w:r w:rsidR="00540D95">
        <w:rPr>
          <w:b/>
          <w:bCs/>
        </w:rPr>
        <w:t>о личности</w:t>
      </w:r>
      <w:r w:rsidRPr="008708D2">
        <w:rPr>
          <w:b/>
          <w:bCs/>
        </w:rPr>
        <w:t xml:space="preserve">из кривичних истрага које су </w:t>
      </w:r>
      <w:r w:rsidR="00540D95">
        <w:rPr>
          <w:b/>
          <w:bCs/>
        </w:rPr>
        <w:t xml:space="preserve">од органа </w:t>
      </w:r>
      <w:r w:rsidRPr="008708D2">
        <w:rPr>
          <w:b/>
          <w:bCs/>
        </w:rPr>
        <w:t xml:space="preserve">власти </w:t>
      </w:r>
      <w:r w:rsidR="00540D95">
        <w:rPr>
          <w:b/>
          <w:bCs/>
        </w:rPr>
        <w:t xml:space="preserve">доспеле </w:t>
      </w:r>
      <w:r w:rsidRPr="008708D2">
        <w:rPr>
          <w:b/>
          <w:bCs/>
        </w:rPr>
        <w:t>у медије.</w:t>
      </w:r>
    </w:p>
    <w:p w14:paraId="340AA53D" w14:textId="77777777" w:rsidR="008708D2" w:rsidRPr="008708D2" w:rsidRDefault="008708D2" w:rsidP="004D0D52">
      <w:pPr>
        <w:spacing w:line="240" w:lineRule="auto"/>
        <w:jc w:val="both"/>
        <w:rPr>
          <w:b/>
          <w:bCs/>
        </w:rPr>
      </w:pPr>
      <w:r w:rsidRPr="008708D2">
        <w:rPr>
          <w:b/>
          <w:bCs/>
        </w:rPr>
        <w:t>Слобода изражавања и безбедност новинара</w:t>
      </w:r>
    </w:p>
    <w:p w14:paraId="1771F166" w14:textId="46763460" w:rsidR="008708D2" w:rsidRPr="00E45F89" w:rsidRDefault="008708D2" w:rsidP="004D0D52">
      <w:pPr>
        <w:spacing w:line="240" w:lineRule="auto"/>
        <w:ind w:left="708" w:hanging="708"/>
        <w:jc w:val="both"/>
        <w:rPr>
          <w:lang w:val="en-US"/>
        </w:rPr>
      </w:pPr>
      <w:r w:rsidRPr="00D743D9">
        <w:t xml:space="preserve">38. </w:t>
      </w:r>
      <w:r>
        <w:tab/>
      </w:r>
      <w:r w:rsidRPr="00D743D9">
        <w:t xml:space="preserve">Комитет поздравља усвајање Закона о јавном информисању и медијима и Закона о електронским медијима </w:t>
      </w:r>
      <w:r w:rsidR="00D707AB">
        <w:t>из</w:t>
      </w:r>
      <w:r w:rsidRPr="00D743D9">
        <w:t xml:space="preserve"> октобр</w:t>
      </w:r>
      <w:r w:rsidR="00D707AB">
        <w:t>а</w:t>
      </w:r>
      <w:r w:rsidRPr="00D743D9">
        <w:t xml:space="preserve"> 2023. </w:t>
      </w:r>
      <w:r>
        <w:t xml:space="preserve">године </w:t>
      </w:r>
      <w:r w:rsidRPr="00D743D9">
        <w:t>који су у</w:t>
      </w:r>
      <w:r w:rsidR="00D707AB">
        <w:t>вел</w:t>
      </w:r>
      <w:r w:rsidRPr="00D743D9">
        <w:t>и мере за јачање независности Регулаторног тела за електронске медије кроз измене у поступку избора чланова Савета</w:t>
      </w:r>
      <w:r>
        <w:t xml:space="preserve"> РЕМ</w:t>
      </w:r>
      <w:r w:rsidR="00D707AB">
        <w:t>-а</w:t>
      </w:r>
      <w:r w:rsidRPr="00D743D9">
        <w:t xml:space="preserve">. Међутим, Комитет је и даље забринут због недовољног плурализма медија и </w:t>
      </w:r>
      <w:r>
        <w:t xml:space="preserve">због </w:t>
      </w:r>
      <w:r w:rsidRPr="00D743D9">
        <w:t>извештаја о неједнаком приступу јавном финансирању и државни</w:t>
      </w:r>
      <w:r>
        <w:t>м</w:t>
      </w:r>
      <w:r w:rsidRPr="00D743D9">
        <w:t xml:space="preserve"> званични</w:t>
      </w:r>
      <w:r>
        <w:t>цим</w:t>
      </w:r>
      <w:r w:rsidRPr="00D743D9">
        <w:t>а за медије за које се сматра да су критич</w:t>
      </w:r>
      <w:r>
        <w:t>к</w:t>
      </w:r>
      <w:r w:rsidRPr="00D743D9">
        <w:t xml:space="preserve">и </w:t>
      </w:r>
      <w:r w:rsidR="00D707AB">
        <w:t>настројени према власт</w:t>
      </w:r>
      <w:r w:rsidRPr="00D743D9">
        <w:t xml:space="preserve">и. Комитет је такође забринут због </w:t>
      </w:r>
      <w:r w:rsidR="00D707AB">
        <w:t>извештаја о порасту</w:t>
      </w:r>
      <w:r w:rsidRPr="00D743D9">
        <w:t xml:space="preserve"> застрашивања, кампања </w:t>
      </w:r>
      <w:r w:rsidR="00D707AB">
        <w:t>блаћења</w:t>
      </w:r>
      <w:r w:rsidRPr="00D743D9">
        <w:t xml:space="preserve"> и напада на браниоце људских права, активисте, опозиционе лидере и новинаре, укључујући и путем стратешких и нео</w:t>
      </w:r>
      <w:r w:rsidR="00D707AB">
        <w:t>снованих</w:t>
      </w:r>
      <w:r w:rsidRPr="00D743D9">
        <w:t xml:space="preserve"> тужби, као и застраш</w:t>
      </w:r>
      <w:r w:rsidR="00D707AB">
        <w:t xml:space="preserve">ивање </w:t>
      </w:r>
      <w:r w:rsidR="00D707AB">
        <w:lastRenderedPageBreak/>
        <w:t xml:space="preserve">кроз примену </w:t>
      </w:r>
      <w:r w:rsidR="009B6646">
        <w:t>З</w:t>
      </w:r>
      <w:r w:rsidRPr="00D743D9">
        <w:t xml:space="preserve">акона </w:t>
      </w:r>
      <w:r w:rsidR="00D707AB">
        <w:t xml:space="preserve">о спречавању </w:t>
      </w:r>
      <w:r w:rsidRPr="00D743D9">
        <w:t xml:space="preserve">прања новца </w:t>
      </w:r>
      <w:r w:rsidR="009B6646">
        <w:t xml:space="preserve">и финансирања тероризма </w:t>
      </w:r>
      <w:r w:rsidR="00D707AB">
        <w:t xml:space="preserve">у циљу добијања осетљивих информација из организација цивилног друштва и медија </w:t>
      </w:r>
      <w:r w:rsidRPr="00D743D9">
        <w:t xml:space="preserve">у контексту такозваног „случаја </w:t>
      </w:r>
      <w:r w:rsidR="00D707AB">
        <w:t>Списак</w:t>
      </w:r>
      <w:r w:rsidRPr="00D743D9">
        <w:t xml:space="preserve">“ </w:t>
      </w:r>
      <w:r w:rsidR="00D707AB">
        <w:t>из јула</w:t>
      </w:r>
      <w:r w:rsidRPr="00D743D9">
        <w:t xml:space="preserve"> 2020. </w:t>
      </w:r>
      <w:r>
        <w:t xml:space="preserve">године. </w:t>
      </w:r>
      <w:r w:rsidRPr="00D743D9">
        <w:t xml:space="preserve">Комитет је посебно забринут због </w:t>
      </w:r>
      <w:r w:rsidR="00D707AB">
        <w:t xml:space="preserve">извештаја о </w:t>
      </w:r>
      <w:r w:rsidRPr="00D743D9">
        <w:t>некажњивости за многа таква дела, укључујући и убиство новинара Славка Ћурувије 1999. године. (чл. 2, 6, 7 и 19).</w:t>
      </w:r>
      <w:r>
        <w:t xml:space="preserve"> </w:t>
      </w:r>
    </w:p>
    <w:p w14:paraId="0946A089" w14:textId="64E9017C" w:rsidR="008708D2" w:rsidRPr="00E45F89" w:rsidRDefault="008708D2" w:rsidP="004D0D52">
      <w:pPr>
        <w:spacing w:line="240" w:lineRule="auto"/>
        <w:ind w:left="708" w:hanging="708"/>
        <w:jc w:val="both"/>
        <w:rPr>
          <w:b/>
          <w:bCs/>
        </w:rPr>
      </w:pPr>
      <w:r w:rsidRPr="00E45F89">
        <w:rPr>
          <w:b/>
          <w:bCs/>
        </w:rPr>
        <w:t xml:space="preserve">39. </w:t>
      </w:r>
      <w:r>
        <w:rPr>
          <w:b/>
          <w:bCs/>
        </w:rPr>
        <w:tab/>
      </w:r>
      <w:r w:rsidRPr="00E45F89">
        <w:rPr>
          <w:b/>
          <w:bCs/>
        </w:rPr>
        <w:t>У складу са чланом 19. Пакта и општим коментаром Комитета бр. 34 (2011) о слободи мишљења и изражавања, држава чланица треба да:</w:t>
      </w:r>
    </w:p>
    <w:p w14:paraId="7589705F" w14:textId="1D047A39" w:rsidR="008708D2" w:rsidRPr="008708D2" w:rsidRDefault="008708D2" w:rsidP="004D0D52">
      <w:pPr>
        <w:pStyle w:val="ListParagraph"/>
        <w:numPr>
          <w:ilvl w:val="0"/>
          <w:numId w:val="10"/>
        </w:numPr>
        <w:spacing w:line="240" w:lineRule="auto"/>
        <w:jc w:val="both"/>
        <w:rPr>
          <w:b/>
          <w:bCs/>
        </w:rPr>
      </w:pPr>
      <w:r w:rsidRPr="008708D2">
        <w:rPr>
          <w:b/>
          <w:bCs/>
        </w:rPr>
        <w:t>осигура брзу, независну и непристрасну истрагу свих пријављених случајева кршења слободе изражавања, укључујући насилне нападе на новинаре, медијске</w:t>
      </w:r>
      <w:r w:rsidR="009B6646">
        <w:rPr>
          <w:b/>
          <w:bCs/>
        </w:rPr>
        <w:t xml:space="preserve"> посленике </w:t>
      </w:r>
      <w:r w:rsidR="009B6646" w:rsidRPr="008708D2">
        <w:rPr>
          <w:b/>
          <w:bCs/>
        </w:rPr>
        <w:t xml:space="preserve"> </w:t>
      </w:r>
      <w:r w:rsidRPr="008708D2">
        <w:rPr>
          <w:b/>
          <w:bCs/>
        </w:rPr>
        <w:t xml:space="preserve">и браниоце људских права, да кривично гони осумњичене починиоце и, уколико се утврди </w:t>
      </w:r>
      <w:r w:rsidR="009B6646">
        <w:rPr>
          <w:b/>
          <w:bCs/>
        </w:rPr>
        <w:t>њихова кривица</w:t>
      </w:r>
      <w:r w:rsidRPr="008708D2">
        <w:rPr>
          <w:b/>
          <w:bCs/>
        </w:rPr>
        <w:t xml:space="preserve">, да их казни их </w:t>
      </w:r>
      <w:r w:rsidR="009B6646">
        <w:rPr>
          <w:b/>
          <w:bCs/>
        </w:rPr>
        <w:t>примереним</w:t>
      </w:r>
      <w:r w:rsidRPr="008708D2">
        <w:rPr>
          <w:b/>
          <w:bCs/>
        </w:rPr>
        <w:t xml:space="preserve"> казнама и да </w:t>
      </w:r>
      <w:r w:rsidR="009B6646">
        <w:rPr>
          <w:b/>
          <w:bCs/>
        </w:rPr>
        <w:t xml:space="preserve">жртвама обезбеди </w:t>
      </w:r>
      <w:r w:rsidRPr="008708D2">
        <w:rPr>
          <w:b/>
          <w:bCs/>
        </w:rPr>
        <w:t xml:space="preserve"> </w:t>
      </w:r>
      <w:r w:rsidR="009B6646">
        <w:rPr>
          <w:b/>
          <w:bCs/>
        </w:rPr>
        <w:t>делотворне правне лекове</w:t>
      </w:r>
      <w:r w:rsidRPr="008708D2">
        <w:rPr>
          <w:b/>
          <w:bCs/>
        </w:rPr>
        <w:t>;</w:t>
      </w:r>
    </w:p>
    <w:p w14:paraId="34A8ED17" w14:textId="5461D723" w:rsidR="008708D2" w:rsidRPr="008708D2" w:rsidRDefault="008708D2" w:rsidP="004D0D52">
      <w:pPr>
        <w:pStyle w:val="ListParagraph"/>
        <w:numPr>
          <w:ilvl w:val="0"/>
          <w:numId w:val="10"/>
        </w:numPr>
        <w:spacing w:line="240" w:lineRule="auto"/>
        <w:jc w:val="both"/>
        <w:rPr>
          <w:b/>
          <w:bCs/>
        </w:rPr>
      </w:pPr>
      <w:r w:rsidRPr="008708D2">
        <w:rPr>
          <w:b/>
          <w:bCs/>
        </w:rPr>
        <w:t xml:space="preserve">промовише медијски плурализам </w:t>
      </w:r>
      <w:r w:rsidR="009B6646">
        <w:rPr>
          <w:b/>
          <w:bCs/>
        </w:rPr>
        <w:t xml:space="preserve">подстицањем </w:t>
      </w:r>
      <w:r w:rsidRPr="008708D2">
        <w:rPr>
          <w:b/>
          <w:bCs/>
        </w:rPr>
        <w:t xml:space="preserve">медијског окружења у којем се свим медијима, како независним тако и државним, дају једнаке могућности за приступ јавном финансирању и извештавање о информацијама од јавног интереса, те </w:t>
      </w:r>
      <w:r w:rsidR="009B6646">
        <w:rPr>
          <w:b/>
          <w:bCs/>
        </w:rPr>
        <w:t xml:space="preserve">обезбеђивањем </w:t>
      </w:r>
      <w:r w:rsidRPr="008708D2">
        <w:rPr>
          <w:b/>
          <w:bCs/>
        </w:rPr>
        <w:t xml:space="preserve"> делотворне примене закона који се односе на транспарентност власништва над медијима;</w:t>
      </w:r>
    </w:p>
    <w:p w14:paraId="4F9C5981" w14:textId="490C7EF2" w:rsidR="008708D2" w:rsidRPr="008708D2" w:rsidRDefault="009B6646" w:rsidP="004D0D52">
      <w:pPr>
        <w:pStyle w:val="ListParagraph"/>
        <w:numPr>
          <w:ilvl w:val="0"/>
          <w:numId w:val="10"/>
        </w:numPr>
        <w:spacing w:line="240" w:lineRule="auto"/>
        <w:jc w:val="both"/>
        <w:rPr>
          <w:b/>
          <w:bCs/>
        </w:rPr>
      </w:pPr>
      <w:r>
        <w:rPr>
          <w:b/>
          <w:bCs/>
        </w:rPr>
        <w:t>обезбеди</w:t>
      </w:r>
      <w:r w:rsidR="008708D2" w:rsidRPr="008708D2">
        <w:rPr>
          <w:b/>
          <w:bCs/>
        </w:rPr>
        <w:t xml:space="preserve"> независност регулаторних институција као што је Регулаторно тело за електронске медије кроз делотворну примену правног и регулаторног оквира;</w:t>
      </w:r>
    </w:p>
    <w:p w14:paraId="3C229503" w14:textId="61FAA0CF" w:rsidR="008708D2" w:rsidRPr="008708D2" w:rsidRDefault="008708D2" w:rsidP="004D0D52">
      <w:pPr>
        <w:pStyle w:val="ListParagraph"/>
        <w:numPr>
          <w:ilvl w:val="0"/>
          <w:numId w:val="10"/>
        </w:numPr>
        <w:spacing w:line="240" w:lineRule="auto"/>
        <w:jc w:val="both"/>
        <w:rPr>
          <w:b/>
          <w:bCs/>
        </w:rPr>
      </w:pPr>
      <w:r w:rsidRPr="008708D2">
        <w:rPr>
          <w:b/>
          <w:bCs/>
        </w:rPr>
        <w:t xml:space="preserve">осигура да </w:t>
      </w:r>
      <w:r w:rsidR="009B6646">
        <w:rPr>
          <w:b/>
          <w:bCs/>
        </w:rPr>
        <w:t xml:space="preserve">се уведу </w:t>
      </w:r>
      <w:r w:rsidRPr="008708D2">
        <w:rPr>
          <w:b/>
          <w:bCs/>
        </w:rPr>
        <w:t xml:space="preserve"> заштитне мере како би се спречила употреба стратешких </w:t>
      </w:r>
      <w:r w:rsidR="009B6646">
        <w:rPr>
          <w:b/>
          <w:bCs/>
        </w:rPr>
        <w:t xml:space="preserve">тужби </w:t>
      </w:r>
      <w:r w:rsidRPr="008708D2">
        <w:rPr>
          <w:b/>
          <w:bCs/>
        </w:rPr>
        <w:t xml:space="preserve">или </w:t>
      </w:r>
      <w:r w:rsidR="009B6646">
        <w:rPr>
          <w:b/>
          <w:bCs/>
        </w:rPr>
        <w:t>примена З</w:t>
      </w:r>
      <w:r w:rsidRPr="008708D2">
        <w:rPr>
          <w:b/>
          <w:bCs/>
        </w:rPr>
        <w:t xml:space="preserve">акона </w:t>
      </w:r>
      <w:r w:rsidR="009B6646">
        <w:rPr>
          <w:b/>
          <w:bCs/>
        </w:rPr>
        <w:t xml:space="preserve">о спречавању </w:t>
      </w:r>
      <w:r w:rsidRPr="008708D2">
        <w:rPr>
          <w:b/>
          <w:bCs/>
        </w:rPr>
        <w:t xml:space="preserve">прања новца и </w:t>
      </w:r>
      <w:r w:rsidR="009B6646">
        <w:rPr>
          <w:b/>
          <w:bCs/>
        </w:rPr>
        <w:t xml:space="preserve">финансирања </w:t>
      </w:r>
      <w:r w:rsidRPr="008708D2">
        <w:rPr>
          <w:b/>
          <w:bCs/>
        </w:rPr>
        <w:t>тероризма за неоправдан</w:t>
      </w:r>
      <w:r w:rsidR="00453543">
        <w:rPr>
          <w:b/>
          <w:bCs/>
        </w:rPr>
        <w:t xml:space="preserve">о фокусирање </w:t>
      </w:r>
      <w:r w:rsidRPr="008708D2">
        <w:rPr>
          <w:b/>
          <w:bCs/>
        </w:rPr>
        <w:t>или ограничавање активности организација цивилног друштва, активиста, бранилаца људских права и новинара;</w:t>
      </w:r>
    </w:p>
    <w:p w14:paraId="15BB6431" w14:textId="6F9E05FA" w:rsidR="008708D2" w:rsidRPr="008708D2" w:rsidRDefault="008708D2" w:rsidP="004D0D52">
      <w:pPr>
        <w:pStyle w:val="ListParagraph"/>
        <w:numPr>
          <w:ilvl w:val="0"/>
          <w:numId w:val="10"/>
        </w:numPr>
        <w:spacing w:line="240" w:lineRule="auto"/>
        <w:jc w:val="both"/>
        <w:rPr>
          <w:b/>
          <w:bCs/>
        </w:rPr>
      </w:pPr>
      <w:r w:rsidRPr="008708D2">
        <w:rPr>
          <w:b/>
          <w:bCs/>
        </w:rPr>
        <w:t xml:space="preserve">осигура делотворну примену </w:t>
      </w:r>
      <w:r w:rsidR="00453543">
        <w:rPr>
          <w:b/>
          <w:bCs/>
        </w:rPr>
        <w:t xml:space="preserve">свих видова </w:t>
      </w:r>
      <w:r w:rsidRPr="008708D2">
        <w:rPr>
          <w:b/>
          <w:bCs/>
        </w:rPr>
        <w:t>превенциј</w:t>
      </w:r>
      <w:r w:rsidR="00453543">
        <w:rPr>
          <w:b/>
          <w:bCs/>
        </w:rPr>
        <w:t>е</w:t>
      </w:r>
      <w:r w:rsidRPr="008708D2">
        <w:rPr>
          <w:b/>
          <w:bCs/>
        </w:rPr>
        <w:t xml:space="preserve"> и реаговањ</w:t>
      </w:r>
      <w:r w:rsidR="00453543">
        <w:rPr>
          <w:b/>
          <w:bCs/>
        </w:rPr>
        <w:t>а</w:t>
      </w:r>
      <w:r w:rsidRPr="008708D2">
        <w:rPr>
          <w:b/>
          <w:bCs/>
        </w:rPr>
        <w:t xml:space="preserve"> у циљу промовисања безбедности новинара.</w:t>
      </w:r>
    </w:p>
    <w:p w14:paraId="50FF65F2" w14:textId="77777777" w:rsidR="008708D2" w:rsidRPr="00E45F89" w:rsidRDefault="008708D2" w:rsidP="004D0D52">
      <w:pPr>
        <w:spacing w:line="240" w:lineRule="auto"/>
        <w:jc w:val="both"/>
        <w:rPr>
          <w:b/>
          <w:bCs/>
        </w:rPr>
      </w:pPr>
      <w:r w:rsidRPr="00E45F89">
        <w:rPr>
          <w:b/>
          <w:bCs/>
        </w:rPr>
        <w:t>Право на мирно окупљање</w:t>
      </w:r>
    </w:p>
    <w:p w14:paraId="34ACCE5B" w14:textId="755BE039" w:rsidR="004D0D52" w:rsidRPr="00D743D9" w:rsidRDefault="004D0D52" w:rsidP="004D0D52">
      <w:pPr>
        <w:spacing w:line="240" w:lineRule="auto"/>
        <w:ind w:left="708" w:hanging="708"/>
        <w:jc w:val="both"/>
      </w:pPr>
      <w:r w:rsidRPr="00D743D9">
        <w:t xml:space="preserve">40. </w:t>
      </w:r>
      <w:r>
        <w:tab/>
      </w:r>
      <w:r w:rsidRPr="00D743D9">
        <w:t>Комитет је забринут што захтеви за</w:t>
      </w:r>
      <w:r w:rsidR="00453543">
        <w:t xml:space="preserve"> пријаву </w:t>
      </w:r>
      <w:r w:rsidRPr="00D743D9">
        <w:t xml:space="preserve"> </w:t>
      </w:r>
      <w:r w:rsidR="00453543">
        <w:t xml:space="preserve">скупа према </w:t>
      </w:r>
      <w:r w:rsidRPr="00D743D9">
        <w:t>Закону о јавном окупљању из 2016. године представљају де фа</w:t>
      </w:r>
      <w:r>
        <w:t>к</w:t>
      </w:r>
      <w:r w:rsidRPr="00D743D9">
        <w:t xml:space="preserve">то режим </w:t>
      </w:r>
      <w:r>
        <w:t>одобрења</w:t>
      </w:r>
      <w:r w:rsidRPr="00D743D9">
        <w:t xml:space="preserve"> који није у складу са Општим коментаром Комитета бр. 37 (2020) о праву на мирно окупљање. Штавише, и уз констатацију уверавања делегације да спонтана окупљања нису забрањена, Комитет је забринут </w:t>
      </w:r>
      <w:r w:rsidR="00453543">
        <w:t xml:space="preserve">што је </w:t>
      </w:r>
      <w:r w:rsidRPr="00D743D9">
        <w:t>дефиниција спонтаних окупљања у том закону</w:t>
      </w:r>
      <w:r w:rsidR="005820C6">
        <w:t xml:space="preserve"> непрецизна</w:t>
      </w:r>
      <w:r w:rsidRPr="00D743D9">
        <w:t xml:space="preserve">, </w:t>
      </w:r>
      <w:r w:rsidR="005820C6">
        <w:t xml:space="preserve">а </w:t>
      </w:r>
      <w:r w:rsidRPr="00D743D9">
        <w:t xml:space="preserve">према којој таква окупљања </w:t>
      </w:r>
      <w:r>
        <w:t>могу</w:t>
      </w:r>
      <w:r w:rsidRPr="00D743D9">
        <w:t xml:space="preserve"> </w:t>
      </w:r>
      <w:r>
        <w:t xml:space="preserve">да се </w:t>
      </w:r>
      <w:r w:rsidRPr="00D743D9">
        <w:t>квалификују као спонтана, не сме</w:t>
      </w:r>
      <w:r>
        <w:t>ју</w:t>
      </w:r>
      <w:r w:rsidRPr="00D743D9">
        <w:t xml:space="preserve"> бити сазвана и не сме</w:t>
      </w:r>
      <w:r>
        <w:t>ју да</w:t>
      </w:r>
      <w:r w:rsidRPr="00D743D9">
        <w:t xml:space="preserve"> има</w:t>
      </w:r>
      <w:r>
        <w:t>ју</w:t>
      </w:r>
      <w:r w:rsidRPr="00D743D9">
        <w:t xml:space="preserve"> организатора, </w:t>
      </w:r>
      <w:r w:rsidR="005820C6">
        <w:t xml:space="preserve">а </w:t>
      </w:r>
      <w:r w:rsidRPr="00D743D9">
        <w:t xml:space="preserve">и </w:t>
      </w:r>
      <w:r>
        <w:t xml:space="preserve">постоје </w:t>
      </w:r>
      <w:r w:rsidRPr="00D743D9">
        <w:t>навод</w:t>
      </w:r>
      <w:r>
        <w:t>и да</w:t>
      </w:r>
      <w:r w:rsidRPr="00D743D9">
        <w:t xml:space="preserve"> је неприкладно коришћен</w:t>
      </w:r>
      <w:r>
        <w:t>а</w:t>
      </w:r>
      <w:r w:rsidRPr="00D743D9">
        <w:t xml:space="preserve"> за кривично гоњење и </w:t>
      </w:r>
      <w:r w:rsidR="005820C6">
        <w:t xml:space="preserve">новчано </w:t>
      </w:r>
      <w:r w:rsidRPr="00D743D9">
        <w:t xml:space="preserve">кажњавање лица која </w:t>
      </w:r>
      <w:r w:rsidR="005820C6">
        <w:t xml:space="preserve">су учествовала </w:t>
      </w:r>
      <w:r w:rsidRPr="00D743D9">
        <w:t xml:space="preserve">у таквим </w:t>
      </w:r>
      <w:r w:rsidR="005820C6">
        <w:t xml:space="preserve">окупљањима </w:t>
      </w:r>
      <w:r w:rsidRPr="00D743D9">
        <w:t xml:space="preserve">искључиво </w:t>
      </w:r>
      <w:r w:rsidR="005820C6">
        <w:t>путем коментара</w:t>
      </w:r>
      <w:r w:rsidRPr="00D743D9">
        <w:t xml:space="preserve"> на друштвеним мрежама (чл. 21).</w:t>
      </w:r>
    </w:p>
    <w:p w14:paraId="64753825" w14:textId="78AA1C8C" w:rsidR="004D0D52" w:rsidRPr="00E45F89" w:rsidRDefault="004D0D52" w:rsidP="004D0D52">
      <w:pPr>
        <w:spacing w:line="240" w:lineRule="auto"/>
        <w:ind w:left="708" w:hanging="708"/>
        <w:jc w:val="both"/>
        <w:rPr>
          <w:b/>
          <w:bCs/>
        </w:rPr>
      </w:pPr>
      <w:r w:rsidRPr="00E45F89">
        <w:rPr>
          <w:b/>
          <w:bCs/>
        </w:rPr>
        <w:t xml:space="preserve">41. </w:t>
      </w:r>
      <w:r>
        <w:rPr>
          <w:b/>
          <w:bCs/>
        </w:rPr>
        <w:tab/>
      </w:r>
      <w:r w:rsidRPr="00E45F89">
        <w:rPr>
          <w:b/>
          <w:bCs/>
        </w:rPr>
        <w:t xml:space="preserve">У светлу Општег коментара Комитета бр. 37 (2020), који даје смернице за обезбеђивање да су захтеви за обавештавање о окупљањима и регулисање спонтаних окупљања компатибилни са одредбама Пакта, држава чланица треба да преиспита Закон о јавном окупљању из 2016. </w:t>
      </w:r>
      <w:r>
        <w:rPr>
          <w:b/>
          <w:bCs/>
        </w:rPr>
        <w:t xml:space="preserve">године </w:t>
      </w:r>
      <w:r w:rsidRPr="00E45F89">
        <w:rPr>
          <w:b/>
          <w:bCs/>
        </w:rPr>
        <w:t>и размотрити измене свог закона и праксе</w:t>
      </w:r>
      <w:r>
        <w:rPr>
          <w:b/>
          <w:bCs/>
        </w:rPr>
        <w:t>,</w:t>
      </w:r>
      <w:r w:rsidRPr="00E45F89">
        <w:rPr>
          <w:b/>
          <w:bCs/>
        </w:rPr>
        <w:t xml:space="preserve"> како би се осигурало да појединци у потпуности уживају своје право на мирно окупљање и </w:t>
      </w:r>
      <w:r>
        <w:rPr>
          <w:b/>
          <w:bCs/>
        </w:rPr>
        <w:t xml:space="preserve">како би </w:t>
      </w:r>
      <w:r w:rsidRPr="00E45F89">
        <w:rPr>
          <w:b/>
          <w:bCs/>
        </w:rPr>
        <w:t>гарант</w:t>
      </w:r>
      <w:r>
        <w:rPr>
          <w:b/>
          <w:bCs/>
        </w:rPr>
        <w:t xml:space="preserve">овала </w:t>
      </w:r>
      <w:r w:rsidRPr="00E45F89">
        <w:rPr>
          <w:b/>
          <w:bCs/>
        </w:rPr>
        <w:t>да су сва ограничења тог права у складу са строгим захтевима из члана 21. Пакта.</w:t>
      </w:r>
    </w:p>
    <w:p w14:paraId="7FF7E164" w14:textId="56B5FB23" w:rsidR="004D0D52" w:rsidRPr="00D743D9" w:rsidRDefault="004D0D52" w:rsidP="004D0D52">
      <w:pPr>
        <w:spacing w:line="240" w:lineRule="auto"/>
        <w:ind w:left="708" w:hanging="708"/>
        <w:jc w:val="both"/>
      </w:pPr>
      <w:r w:rsidRPr="00D743D9">
        <w:t xml:space="preserve">42. </w:t>
      </w:r>
      <w:r>
        <w:tab/>
      </w:r>
      <w:r w:rsidRPr="00D743D9">
        <w:t xml:space="preserve">У вези са протестима против ограничења </w:t>
      </w:r>
      <w:r>
        <w:t xml:space="preserve">током </w:t>
      </w:r>
      <w:r w:rsidRPr="00D743D9">
        <w:t xml:space="preserve">пандемије </w:t>
      </w:r>
      <w:r>
        <w:t>К</w:t>
      </w:r>
      <w:r w:rsidRPr="00D743D9">
        <w:t xml:space="preserve">ОВИД-19 у Београду и другим градовима у јулу 2020. године, и уз уважавање повреда које је задобио један број полицајаца услед насилних радњи појединих демонстраната, Комитет је забринут због извештаја који указују да </w:t>
      </w:r>
      <w:r w:rsidR="00571027">
        <w:t>је полиција</w:t>
      </w:r>
      <w:bookmarkStart w:id="0" w:name="_GoBack"/>
      <w:bookmarkEnd w:id="0"/>
      <w:r w:rsidRPr="00D743D9">
        <w:t xml:space="preserve"> употребила прекомерну силу против мирних демонстраната и новинара, и да упркос неколико истрага које су спроведене као одговор на примљене притужбе, ниједан полицијски службеник није одговарао у кривичном или </w:t>
      </w:r>
      <w:r w:rsidRPr="00D743D9">
        <w:lastRenderedPageBreak/>
        <w:t xml:space="preserve">дисциплинском поступку, нити </w:t>
      </w:r>
      <w:r>
        <w:t>су</w:t>
      </w:r>
      <w:r w:rsidRPr="00D743D9">
        <w:t xml:space="preserve"> жртв</w:t>
      </w:r>
      <w:r>
        <w:t>е</w:t>
      </w:r>
      <w:r w:rsidRPr="00D743D9">
        <w:t xml:space="preserve"> обештећен</w:t>
      </w:r>
      <w:r>
        <w:t>е</w:t>
      </w:r>
      <w:r w:rsidRPr="00D743D9">
        <w:t>. Комитет је даље забринут због извештаја да су истраге отежане немогућношћу идентификовања починилаца због непостојања одговарајућих идентификационих ознака на полицијским униформама (чл. 2, 7 и 21).</w:t>
      </w:r>
    </w:p>
    <w:p w14:paraId="638EC67E" w14:textId="3824F6BC" w:rsidR="004D0D52" w:rsidRPr="00E45F89" w:rsidRDefault="004D0D52" w:rsidP="004D0D52">
      <w:pPr>
        <w:spacing w:line="240" w:lineRule="auto"/>
        <w:jc w:val="both"/>
        <w:rPr>
          <w:b/>
          <w:bCs/>
        </w:rPr>
      </w:pPr>
      <w:r w:rsidRPr="00E45F89">
        <w:rPr>
          <w:b/>
          <w:bCs/>
        </w:rPr>
        <w:t xml:space="preserve">43. </w:t>
      </w:r>
      <w:r>
        <w:rPr>
          <w:b/>
          <w:bCs/>
        </w:rPr>
        <w:tab/>
      </w:r>
      <w:r w:rsidRPr="00E45F89">
        <w:rPr>
          <w:b/>
          <w:bCs/>
        </w:rPr>
        <w:t>Држава чланица треба да:</w:t>
      </w:r>
    </w:p>
    <w:p w14:paraId="7761B1B4" w14:textId="4B1CF3A8" w:rsidR="004D0D52" w:rsidRPr="004D0D52" w:rsidRDefault="004D0D52" w:rsidP="004D0D52">
      <w:pPr>
        <w:pStyle w:val="ListParagraph"/>
        <w:numPr>
          <w:ilvl w:val="0"/>
          <w:numId w:val="12"/>
        </w:numPr>
        <w:spacing w:line="240" w:lineRule="auto"/>
        <w:jc w:val="both"/>
        <w:rPr>
          <w:b/>
          <w:bCs/>
        </w:rPr>
      </w:pPr>
      <w:r w:rsidRPr="004D0D52">
        <w:rPr>
          <w:b/>
          <w:bCs/>
        </w:rPr>
        <w:t xml:space="preserve">предузме брзу, темељну и независну истрагу свих навода о прекомерној употреби силе од стране полицијских службеника у контексту вршења дужности на скуповима, и да обезбеди да осумњичени починиоци буду кривично гоњени и да буду на одговарајући начин кажњени, уколико буду проглашени кривим, а да жртвама буде обезбеђена одговарајућа </w:t>
      </w:r>
      <w:r w:rsidR="005820C6">
        <w:rPr>
          <w:b/>
          <w:bCs/>
        </w:rPr>
        <w:t>одштета</w:t>
      </w:r>
      <w:r w:rsidRPr="004D0D52">
        <w:rPr>
          <w:b/>
          <w:bCs/>
        </w:rPr>
        <w:t>;</w:t>
      </w:r>
    </w:p>
    <w:p w14:paraId="79EB2FBD" w14:textId="5887ABD5" w:rsidR="004D0D52" w:rsidRPr="004D0D52" w:rsidRDefault="004D0D52" w:rsidP="004D0D52">
      <w:pPr>
        <w:pStyle w:val="ListParagraph"/>
        <w:numPr>
          <w:ilvl w:val="0"/>
          <w:numId w:val="12"/>
        </w:numPr>
        <w:spacing w:line="240" w:lineRule="auto"/>
        <w:jc w:val="both"/>
        <w:rPr>
          <w:b/>
          <w:bCs/>
        </w:rPr>
      </w:pPr>
      <w:r w:rsidRPr="004D0D52">
        <w:rPr>
          <w:b/>
          <w:bCs/>
        </w:rPr>
        <w:t xml:space="preserve">осигура да полицијске службе и снаге безбедности прођу посебну обуку о ненасилним методама вршења дужности на скуповима, поред обуке о међународним стандардима за одговарајућу </w:t>
      </w:r>
      <w:r w:rsidR="005820C6">
        <w:rPr>
          <w:b/>
          <w:bCs/>
        </w:rPr>
        <w:t>примену</w:t>
      </w:r>
      <w:r w:rsidRPr="004D0D52">
        <w:rPr>
          <w:b/>
          <w:bCs/>
        </w:rPr>
        <w:t xml:space="preserve"> силе, укључујући Основне принципе о употреби силе и ватреног оружја од стране полицијских службеника и Водич Уједињених нација о људским правима о мање смртоносном оружју у спровођењу закона;</w:t>
      </w:r>
    </w:p>
    <w:p w14:paraId="4E934E7C" w14:textId="0F910037" w:rsidR="004D0D52" w:rsidRPr="004D0D52" w:rsidRDefault="004D0D52" w:rsidP="004D0D52">
      <w:pPr>
        <w:pStyle w:val="ListParagraph"/>
        <w:numPr>
          <w:ilvl w:val="0"/>
          <w:numId w:val="12"/>
        </w:numPr>
        <w:spacing w:line="240" w:lineRule="auto"/>
        <w:jc w:val="both"/>
        <w:rPr>
          <w:b/>
          <w:bCs/>
        </w:rPr>
      </w:pPr>
      <w:r w:rsidRPr="004D0D52">
        <w:rPr>
          <w:b/>
          <w:bCs/>
        </w:rPr>
        <w:t>осигура да полицијски службеници који врше дужност скуповима могу јасно да се идентификују, укључујући и стриктно спровођење Уредбе о врстама наоружања, муниције, средстава принуде и опреми</w:t>
      </w:r>
      <w:r w:rsidR="005820C6">
        <w:rPr>
          <w:b/>
          <w:bCs/>
        </w:rPr>
        <w:t xml:space="preserve"> полицијских службеника (</w:t>
      </w:r>
      <w:r w:rsidRPr="004D0D52">
        <w:rPr>
          <w:b/>
          <w:bCs/>
        </w:rPr>
        <w:t>од 28. јула 2023. године). С тим у вези, подстиче државу чланицу да убрза усвајање подзаконског акта који се тренутно припрема, како би се побољшала правила која се односе на изглед идентификационих ознака на полицијским униформама.</w:t>
      </w:r>
    </w:p>
    <w:p w14:paraId="0436C963" w14:textId="77777777" w:rsidR="004D0D52" w:rsidRPr="00E45F89" w:rsidRDefault="004D0D52" w:rsidP="004D0D52">
      <w:pPr>
        <w:spacing w:line="240" w:lineRule="auto"/>
        <w:jc w:val="both"/>
        <w:rPr>
          <w:b/>
          <w:bCs/>
        </w:rPr>
      </w:pPr>
      <w:r w:rsidRPr="00E45F89">
        <w:rPr>
          <w:b/>
          <w:bCs/>
        </w:rPr>
        <w:t>Учешће у јавним пословима</w:t>
      </w:r>
    </w:p>
    <w:p w14:paraId="44D88261" w14:textId="66A63EB0" w:rsidR="004D0D52" w:rsidRPr="00D743D9" w:rsidRDefault="004D0D52" w:rsidP="004D0D52">
      <w:pPr>
        <w:spacing w:line="240" w:lineRule="auto"/>
        <w:ind w:left="708" w:hanging="708"/>
        <w:jc w:val="both"/>
      </w:pPr>
      <w:r w:rsidRPr="00D743D9">
        <w:t xml:space="preserve">44. </w:t>
      </w:r>
      <w:r>
        <w:tab/>
      </w:r>
      <w:r w:rsidRPr="00D743D9">
        <w:t xml:space="preserve">Комитет је забринут због веродостојних извештаја који указују на бројне неправилности системске природе у контексту парламентарних и локалних избора одржаних у децембру 2023. године, укључујући злоупотребу јавних </w:t>
      </w:r>
      <w:r w:rsidR="005820C6">
        <w:t>средстава</w:t>
      </w:r>
      <w:r w:rsidRPr="00D743D9">
        <w:t xml:space="preserve">, </w:t>
      </w:r>
      <w:r>
        <w:t xml:space="preserve">функционерску </w:t>
      </w:r>
      <w:r w:rsidRPr="00D743D9">
        <w:t>кампању, застрашивање и притисак на бираче, укључујући случајеве куповине глас</w:t>
      </w:r>
      <w:r>
        <w:t xml:space="preserve">ова, </w:t>
      </w:r>
      <w:r w:rsidRPr="00D743D9">
        <w:t xml:space="preserve">кршења тајности гласања, тзв. породичног гласања, пуњења гласачких кутија и фалсификовања потписа и изјава подршке бирача у контексту </w:t>
      </w:r>
      <w:r w:rsidR="005820C6">
        <w:t>проглашења</w:t>
      </w:r>
      <w:r w:rsidRPr="00D743D9">
        <w:t xml:space="preserve"> изборних листа. Комитет жали </w:t>
      </w:r>
      <w:r>
        <w:t>што</w:t>
      </w:r>
      <w:r w:rsidRPr="00D743D9">
        <w:t xml:space="preserve"> држава чланица </w:t>
      </w:r>
      <w:r>
        <w:t>није доставила</w:t>
      </w:r>
      <w:r w:rsidRPr="00D743D9">
        <w:t xml:space="preserve"> информациј</w:t>
      </w:r>
      <w:r>
        <w:t>е</w:t>
      </w:r>
      <w:r w:rsidRPr="00D743D9">
        <w:t xml:space="preserve"> у вези с тим, укључујући информације о истрагама у вези</w:t>
      </w:r>
      <w:r w:rsidR="005820C6">
        <w:t xml:space="preserve"> са кривичним пријавама поднет</w:t>
      </w:r>
      <w:r w:rsidRPr="00D743D9">
        <w:t>им тужилаштву и жалбама подн</w:t>
      </w:r>
      <w:r w:rsidR="005820C6">
        <w:t>ет</w:t>
      </w:r>
      <w:r w:rsidRPr="00D743D9">
        <w:t>им Уставном суду, као и информације о ефикасности надзорног механизма за финансирање кампањ</w:t>
      </w:r>
      <w:r>
        <w:t>е</w:t>
      </w:r>
      <w:r w:rsidRPr="00D743D9">
        <w:t xml:space="preserve"> (чл. 2 и 25).</w:t>
      </w:r>
    </w:p>
    <w:p w14:paraId="410E8B8B" w14:textId="7816092B" w:rsidR="004D0D52" w:rsidRPr="00E45F89" w:rsidRDefault="004D0D52" w:rsidP="004D0D52">
      <w:pPr>
        <w:spacing w:line="240" w:lineRule="auto"/>
        <w:jc w:val="both"/>
        <w:rPr>
          <w:b/>
          <w:bCs/>
        </w:rPr>
      </w:pPr>
      <w:r w:rsidRPr="00E45F89">
        <w:rPr>
          <w:b/>
          <w:bCs/>
        </w:rPr>
        <w:t xml:space="preserve">45. </w:t>
      </w:r>
      <w:r>
        <w:rPr>
          <w:b/>
          <w:bCs/>
        </w:rPr>
        <w:tab/>
      </w:r>
      <w:r w:rsidRPr="00E45F89">
        <w:rPr>
          <w:b/>
          <w:bCs/>
        </w:rPr>
        <w:t>Држава чланица треба да:</w:t>
      </w:r>
    </w:p>
    <w:p w14:paraId="660C3833" w14:textId="68E9AF7F" w:rsidR="004D0D52" w:rsidRPr="004D0D52" w:rsidRDefault="004D0D52" w:rsidP="004D0D52">
      <w:pPr>
        <w:pStyle w:val="ListParagraph"/>
        <w:numPr>
          <w:ilvl w:val="0"/>
          <w:numId w:val="11"/>
        </w:numPr>
        <w:spacing w:line="240" w:lineRule="auto"/>
        <w:jc w:val="both"/>
        <w:rPr>
          <w:b/>
          <w:bCs/>
        </w:rPr>
      </w:pPr>
      <w:r w:rsidRPr="004D0D52">
        <w:rPr>
          <w:b/>
          <w:bCs/>
        </w:rPr>
        <w:t>предузме брзу, темељну и независну истрагу свих навода о неправилностима у контексту избора и обезбеди да осумњичени починиоци буду кривично гоњени и да буду адекватно кажњени, уколико буду проглашени кривим;</w:t>
      </w:r>
    </w:p>
    <w:p w14:paraId="7DD4DB29" w14:textId="67FE7A4B" w:rsidR="004D0D52" w:rsidRPr="004D0D52" w:rsidRDefault="004D0D52" w:rsidP="004D0D52">
      <w:pPr>
        <w:pStyle w:val="ListParagraph"/>
        <w:numPr>
          <w:ilvl w:val="0"/>
          <w:numId w:val="11"/>
        </w:numPr>
        <w:spacing w:line="240" w:lineRule="auto"/>
        <w:jc w:val="both"/>
        <w:rPr>
          <w:b/>
          <w:bCs/>
        </w:rPr>
      </w:pPr>
      <w:r w:rsidRPr="004D0D52">
        <w:rPr>
          <w:b/>
          <w:bCs/>
        </w:rPr>
        <w:t>спречи застрашивање и притисак на бираче, укључујући запослене у јавним и државним институцијама и предузећима и да ојача механизме надзора;</w:t>
      </w:r>
    </w:p>
    <w:p w14:paraId="69E89D8B" w14:textId="79CDC59D" w:rsidR="004D0D52" w:rsidRPr="004D0D52" w:rsidRDefault="004D0D52" w:rsidP="004D0D52">
      <w:pPr>
        <w:pStyle w:val="ListParagraph"/>
        <w:numPr>
          <w:ilvl w:val="0"/>
          <w:numId w:val="11"/>
        </w:numPr>
        <w:spacing w:line="240" w:lineRule="auto"/>
        <w:jc w:val="both"/>
        <w:rPr>
          <w:b/>
          <w:bCs/>
        </w:rPr>
      </w:pPr>
      <w:r w:rsidRPr="004D0D52">
        <w:rPr>
          <w:b/>
          <w:bCs/>
        </w:rPr>
        <w:t>законски успостави јасно раздвајање званичних функција и активности лидера у кампањама;</w:t>
      </w:r>
    </w:p>
    <w:p w14:paraId="1BF0BBD5" w14:textId="3036C089" w:rsidR="004D0D52" w:rsidRPr="004D0D52" w:rsidRDefault="004D0D52" w:rsidP="004D0D52">
      <w:pPr>
        <w:pStyle w:val="ListParagraph"/>
        <w:numPr>
          <w:ilvl w:val="0"/>
          <w:numId w:val="11"/>
        </w:numPr>
        <w:spacing w:line="240" w:lineRule="auto"/>
        <w:jc w:val="both"/>
        <w:rPr>
          <w:b/>
          <w:bCs/>
        </w:rPr>
      </w:pPr>
      <w:r w:rsidRPr="004D0D52">
        <w:rPr>
          <w:b/>
          <w:bCs/>
        </w:rPr>
        <w:t xml:space="preserve">усвоји </w:t>
      </w:r>
      <w:r w:rsidR="00A00073">
        <w:rPr>
          <w:b/>
          <w:bCs/>
        </w:rPr>
        <w:t>чвршћи</w:t>
      </w:r>
      <w:r w:rsidRPr="004D0D52">
        <w:rPr>
          <w:b/>
          <w:bCs/>
        </w:rPr>
        <w:t xml:space="preserve"> и транс</w:t>
      </w:r>
      <w:r w:rsidR="00A00073">
        <w:rPr>
          <w:b/>
          <w:bCs/>
        </w:rPr>
        <w:t>парентнији процес верификације изборних листа</w:t>
      </w:r>
      <w:r w:rsidRPr="004D0D52">
        <w:rPr>
          <w:b/>
          <w:bCs/>
        </w:rPr>
        <w:t xml:space="preserve">, </w:t>
      </w:r>
      <w:r w:rsidR="00A00073">
        <w:rPr>
          <w:b/>
          <w:bCs/>
        </w:rPr>
        <w:t xml:space="preserve">уз </w:t>
      </w:r>
      <w:r w:rsidRPr="004D0D52">
        <w:rPr>
          <w:b/>
          <w:bCs/>
        </w:rPr>
        <w:t>систематск</w:t>
      </w:r>
      <w:r w:rsidR="00A00073">
        <w:rPr>
          <w:b/>
          <w:bCs/>
        </w:rPr>
        <w:t>е</w:t>
      </w:r>
      <w:r w:rsidRPr="004D0D52">
        <w:rPr>
          <w:b/>
          <w:bCs/>
        </w:rPr>
        <w:t xml:space="preserve"> провер</w:t>
      </w:r>
      <w:r w:rsidR="00A00073">
        <w:rPr>
          <w:b/>
          <w:bCs/>
        </w:rPr>
        <w:t>е</w:t>
      </w:r>
      <w:r w:rsidRPr="004D0D52">
        <w:rPr>
          <w:b/>
          <w:bCs/>
        </w:rPr>
        <w:t xml:space="preserve"> ва</w:t>
      </w:r>
      <w:r w:rsidR="00A00073">
        <w:rPr>
          <w:b/>
          <w:bCs/>
        </w:rPr>
        <w:t>љаности</w:t>
      </w:r>
      <w:r w:rsidRPr="004D0D52">
        <w:rPr>
          <w:b/>
          <w:bCs/>
        </w:rPr>
        <w:t xml:space="preserve"> изјава подршке бирача;</w:t>
      </w:r>
    </w:p>
    <w:p w14:paraId="7D62A827" w14:textId="2B4CE159" w:rsidR="004D0D52" w:rsidRPr="004D0D52" w:rsidRDefault="004D0D52" w:rsidP="004D0D52">
      <w:pPr>
        <w:pStyle w:val="ListParagraph"/>
        <w:numPr>
          <w:ilvl w:val="0"/>
          <w:numId w:val="11"/>
        </w:numPr>
        <w:spacing w:line="240" w:lineRule="auto"/>
        <w:jc w:val="both"/>
        <w:rPr>
          <w:b/>
          <w:bCs/>
        </w:rPr>
      </w:pPr>
      <w:r w:rsidRPr="004D0D52">
        <w:rPr>
          <w:b/>
          <w:bCs/>
        </w:rPr>
        <w:t xml:space="preserve">појача надзор над финансирањем кампања, укључујући улогу Агенције за </w:t>
      </w:r>
      <w:r w:rsidR="00A00073">
        <w:rPr>
          <w:b/>
          <w:bCs/>
        </w:rPr>
        <w:t>спречавање</w:t>
      </w:r>
      <w:r w:rsidRPr="004D0D52">
        <w:rPr>
          <w:b/>
          <w:bCs/>
        </w:rPr>
        <w:t xml:space="preserve"> корупције;</w:t>
      </w:r>
    </w:p>
    <w:p w14:paraId="4CD9CED6" w14:textId="14CE65A0" w:rsidR="004D0D52" w:rsidRPr="004D0D52" w:rsidRDefault="004D0D52" w:rsidP="004D0D52">
      <w:pPr>
        <w:pStyle w:val="ListParagraph"/>
        <w:numPr>
          <w:ilvl w:val="0"/>
          <w:numId w:val="11"/>
        </w:numPr>
        <w:spacing w:line="240" w:lineRule="auto"/>
        <w:jc w:val="both"/>
        <w:rPr>
          <w:b/>
          <w:bCs/>
        </w:rPr>
      </w:pPr>
      <w:r w:rsidRPr="004D0D52">
        <w:rPr>
          <w:b/>
          <w:bCs/>
        </w:rPr>
        <w:t xml:space="preserve">спроводи свеобухватне програме едукације бирача, укључујући </w:t>
      </w:r>
      <w:r w:rsidR="00A00073">
        <w:rPr>
          <w:b/>
          <w:bCs/>
        </w:rPr>
        <w:t>теме о правима бирача, спречавању</w:t>
      </w:r>
      <w:r w:rsidRPr="004D0D52">
        <w:rPr>
          <w:b/>
          <w:bCs/>
        </w:rPr>
        <w:t xml:space="preserve"> групног гласања и важност</w:t>
      </w:r>
      <w:r w:rsidR="00A00073">
        <w:rPr>
          <w:b/>
          <w:bCs/>
        </w:rPr>
        <w:t>и</w:t>
      </w:r>
      <w:r w:rsidRPr="004D0D52">
        <w:rPr>
          <w:b/>
          <w:bCs/>
        </w:rPr>
        <w:t xml:space="preserve"> тајног гласања.</w:t>
      </w:r>
    </w:p>
    <w:p w14:paraId="45975164" w14:textId="77777777" w:rsidR="00895C9E" w:rsidRPr="00010189" w:rsidRDefault="00895C9E" w:rsidP="004D0D52">
      <w:pPr>
        <w:spacing w:line="240" w:lineRule="auto"/>
        <w:jc w:val="both"/>
        <w:rPr>
          <w:b/>
          <w:bCs/>
        </w:rPr>
      </w:pPr>
    </w:p>
    <w:p w14:paraId="3CA8E8EB" w14:textId="760B7C7C" w:rsidR="00895C9E" w:rsidRPr="00895C9E" w:rsidRDefault="00895C9E" w:rsidP="004D0D52">
      <w:pPr>
        <w:pStyle w:val="Heading3"/>
        <w:spacing w:after="160" w:line="240" w:lineRule="auto"/>
        <w:rPr>
          <w:color w:val="auto"/>
        </w:rPr>
      </w:pPr>
      <w:r w:rsidRPr="00895C9E">
        <w:rPr>
          <w:color w:val="auto"/>
        </w:rPr>
        <w:lastRenderedPageBreak/>
        <w:t>Д. Дис</w:t>
      </w:r>
      <w:r w:rsidR="00A00073">
        <w:rPr>
          <w:color w:val="auto"/>
        </w:rPr>
        <w:t>трибуци</w:t>
      </w:r>
      <w:r w:rsidRPr="00895C9E">
        <w:rPr>
          <w:color w:val="auto"/>
        </w:rPr>
        <w:t>ја и праћење</w:t>
      </w:r>
    </w:p>
    <w:p w14:paraId="36FC5DB5" w14:textId="2DDF16B2" w:rsidR="00895C9E" w:rsidRPr="00895C9E" w:rsidRDefault="00895C9E" w:rsidP="004D0D52">
      <w:pPr>
        <w:spacing w:line="240" w:lineRule="auto"/>
        <w:jc w:val="both"/>
        <w:rPr>
          <w:b/>
          <w:bCs/>
        </w:rPr>
      </w:pPr>
      <w:r w:rsidRPr="00895C9E">
        <w:rPr>
          <w:b/>
          <w:bCs/>
        </w:rPr>
        <w:t>46. Држава чланица би требало да Пакт, његова два Опциона протокола, свој Четврти периодични извештај и ова За</w:t>
      </w:r>
      <w:r w:rsidR="00A00073">
        <w:rPr>
          <w:b/>
          <w:bCs/>
        </w:rPr>
        <w:t>кључна</w:t>
      </w:r>
      <w:r w:rsidRPr="00895C9E">
        <w:rPr>
          <w:b/>
          <w:bCs/>
        </w:rPr>
        <w:t xml:space="preserve"> запажања</w:t>
      </w:r>
      <w:r w:rsidR="00B44F22">
        <w:rPr>
          <w:b/>
          <w:bCs/>
          <w:lang w:val="sr-Latn-RS"/>
        </w:rPr>
        <w:t xml:space="preserve"> </w:t>
      </w:r>
      <w:r w:rsidR="00B44F22" w:rsidRPr="00895C9E">
        <w:rPr>
          <w:b/>
          <w:bCs/>
        </w:rPr>
        <w:t xml:space="preserve">широко </w:t>
      </w:r>
      <w:r w:rsidR="00B44F22">
        <w:rPr>
          <w:b/>
          <w:bCs/>
        </w:rPr>
        <w:t>промовише на свим нивоима  законодавне, извршне и судске власти</w:t>
      </w:r>
      <w:r w:rsidRPr="00895C9E">
        <w:rPr>
          <w:b/>
          <w:bCs/>
        </w:rPr>
        <w:t>, цивилном друштву и невладиним организацијама које делују у земљи и широј јавности</w:t>
      </w:r>
      <w:r w:rsidR="00B44F22">
        <w:rPr>
          <w:b/>
          <w:bCs/>
        </w:rPr>
        <w:t xml:space="preserve"> </w:t>
      </w:r>
      <w:r w:rsidR="00B44F22" w:rsidRPr="00895C9E">
        <w:rPr>
          <w:b/>
          <w:bCs/>
        </w:rPr>
        <w:t xml:space="preserve">у циљу подизања свести о правима </w:t>
      </w:r>
      <w:r w:rsidR="00B44F22">
        <w:rPr>
          <w:b/>
          <w:bCs/>
        </w:rPr>
        <w:t>садржаним</w:t>
      </w:r>
      <w:r w:rsidR="00B44F22" w:rsidRPr="00895C9E">
        <w:rPr>
          <w:b/>
          <w:bCs/>
        </w:rPr>
        <w:t xml:space="preserve"> у Пакту</w:t>
      </w:r>
      <w:r w:rsidRPr="00895C9E">
        <w:rPr>
          <w:b/>
          <w:bCs/>
        </w:rPr>
        <w:t>. Држава чланица треба да обезбеди да Периодични извештај и ова Завршна запажања буду преведени н</w:t>
      </w:r>
      <w:r w:rsidR="00B44F22">
        <w:rPr>
          <w:b/>
          <w:bCs/>
        </w:rPr>
        <w:t>а службени језик државе чланице.</w:t>
      </w:r>
    </w:p>
    <w:p w14:paraId="0AA3B688" w14:textId="77777777" w:rsidR="00895C9E" w:rsidRPr="00895C9E" w:rsidRDefault="00895C9E" w:rsidP="004D0D52">
      <w:pPr>
        <w:spacing w:line="240" w:lineRule="auto"/>
        <w:jc w:val="both"/>
        <w:rPr>
          <w:b/>
          <w:bCs/>
        </w:rPr>
      </w:pPr>
      <w:r w:rsidRPr="00895C9E">
        <w:rPr>
          <w:b/>
          <w:bCs/>
        </w:rPr>
        <w:t>47. У складу са правилом 75 (1) Пословника Комитета, од државе чланице се тражи да до 29. марта 2027. године достави информације о спровођењу препорука Комитета у ставовима 15 (Злочини из мржње), 39 (Слобода изражавања и заштита новинара) и 45 (Учествовање у јавним пословима).</w:t>
      </w:r>
    </w:p>
    <w:p w14:paraId="6B23771C" w14:textId="28ED64DD" w:rsidR="00B152D3" w:rsidRPr="00010189" w:rsidRDefault="00895C9E" w:rsidP="004D0D52">
      <w:pPr>
        <w:spacing w:line="240" w:lineRule="auto"/>
        <w:jc w:val="both"/>
        <w:rPr>
          <w:b/>
          <w:bCs/>
        </w:rPr>
      </w:pPr>
      <w:r w:rsidRPr="00895C9E">
        <w:rPr>
          <w:b/>
          <w:bCs/>
        </w:rPr>
        <w:t xml:space="preserve">48. У складу са </w:t>
      </w:r>
      <w:r w:rsidR="00B44F22">
        <w:rPr>
          <w:b/>
          <w:bCs/>
        </w:rPr>
        <w:t xml:space="preserve">устаљеним </w:t>
      </w:r>
      <w:r w:rsidRPr="00895C9E">
        <w:rPr>
          <w:b/>
          <w:bCs/>
        </w:rPr>
        <w:t xml:space="preserve">циклусом прегледа Комитета, држава чланица ће 2030. године, пре подношења извештаја, добити списак питања од Комитета и од ње се очекује да у року од годину дана достави своје одговоре, </w:t>
      </w:r>
      <w:r w:rsidR="00B44F22">
        <w:rPr>
          <w:b/>
          <w:bCs/>
        </w:rPr>
        <w:t>који</w:t>
      </w:r>
      <w:r w:rsidRPr="00895C9E">
        <w:rPr>
          <w:b/>
          <w:bCs/>
        </w:rPr>
        <w:t xml:space="preserve"> ће чинити њен Пети периодични извештај. Комитет такође тражи од државе чланице да, у припреми извештаја, широко консултује цивилно друштво и невладине организације које делују у земљи. У складу са резолуцијом Генералне скупштине 68/268, </w:t>
      </w:r>
      <w:r w:rsidR="00B44F22">
        <w:rPr>
          <w:b/>
          <w:bCs/>
        </w:rPr>
        <w:t>извештај је ограничен у погледу броја речи на</w:t>
      </w:r>
      <w:r w:rsidRPr="00895C9E">
        <w:rPr>
          <w:b/>
          <w:bCs/>
        </w:rPr>
        <w:t xml:space="preserve"> 21.200 речи. Следећи конструктивни дијалог са државом чланицом одржаће се у Женеви 2032. године.</w:t>
      </w:r>
    </w:p>
    <w:sectPr w:rsidR="00B152D3" w:rsidRPr="00010189" w:rsidSect="005D413E">
      <w:headerReference w:type="default" r:id="rId9"/>
      <w:footerReference w:type="default" r:id="rId10"/>
      <w:footnotePr>
        <w:numRestart w:val="eachPage"/>
      </w:foot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FA62" w14:textId="77777777" w:rsidR="00AF081C" w:rsidRDefault="00AF081C" w:rsidP="0006044C">
      <w:pPr>
        <w:spacing w:after="0" w:line="240" w:lineRule="auto"/>
      </w:pPr>
      <w:r>
        <w:separator/>
      </w:r>
    </w:p>
  </w:endnote>
  <w:endnote w:type="continuationSeparator" w:id="0">
    <w:p w14:paraId="33C241A5" w14:textId="77777777" w:rsidR="00AF081C" w:rsidRDefault="00AF081C" w:rsidP="0006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8503"/>
      <w:docPartObj>
        <w:docPartGallery w:val="Page Numbers (Bottom of Page)"/>
        <w:docPartUnique/>
      </w:docPartObj>
    </w:sdtPr>
    <w:sdtEndPr>
      <w:rPr>
        <w:noProof/>
      </w:rPr>
    </w:sdtEndPr>
    <w:sdtContent>
      <w:p w14:paraId="436ED6D8" w14:textId="19B34B6D" w:rsidR="00936C97" w:rsidRDefault="00936C97">
        <w:pPr>
          <w:pStyle w:val="Footer"/>
          <w:jc w:val="right"/>
        </w:pPr>
        <w:r>
          <w:fldChar w:fldCharType="begin"/>
        </w:r>
        <w:r>
          <w:instrText xml:space="preserve"> PAGE   \* MERGEFORMAT </w:instrText>
        </w:r>
        <w:r>
          <w:fldChar w:fldCharType="separate"/>
        </w:r>
        <w:r w:rsidR="00571027">
          <w:rPr>
            <w:noProof/>
          </w:rPr>
          <w:t>12</w:t>
        </w:r>
        <w:r>
          <w:rPr>
            <w:noProof/>
          </w:rPr>
          <w:fldChar w:fldCharType="end"/>
        </w:r>
      </w:p>
    </w:sdtContent>
  </w:sdt>
  <w:p w14:paraId="4DA885D1" w14:textId="77777777" w:rsidR="00936C97" w:rsidRDefault="0093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6E1F" w14:textId="77777777" w:rsidR="00AF081C" w:rsidRDefault="00AF081C" w:rsidP="0006044C">
      <w:pPr>
        <w:spacing w:after="0" w:line="240" w:lineRule="auto"/>
      </w:pPr>
      <w:r>
        <w:separator/>
      </w:r>
    </w:p>
  </w:footnote>
  <w:footnote w:type="continuationSeparator" w:id="0">
    <w:p w14:paraId="090FF4C2" w14:textId="77777777" w:rsidR="00AF081C" w:rsidRDefault="00AF081C" w:rsidP="0006044C">
      <w:pPr>
        <w:spacing w:after="0" w:line="240" w:lineRule="auto"/>
      </w:pPr>
      <w:r>
        <w:continuationSeparator/>
      </w:r>
    </w:p>
  </w:footnote>
  <w:footnote w:id="1">
    <w:p w14:paraId="06A75ED6" w14:textId="164D4EFD" w:rsidR="00DD0C65" w:rsidRPr="00C6798B" w:rsidRDefault="00DD0C65">
      <w:pPr>
        <w:pStyle w:val="FootnoteText"/>
        <w:rPr>
          <w:sz w:val="18"/>
          <w:szCs w:val="18"/>
        </w:rPr>
      </w:pPr>
      <w:r w:rsidRPr="00C6798B">
        <w:rPr>
          <w:rStyle w:val="FootnoteReference"/>
          <w:sz w:val="18"/>
          <w:szCs w:val="18"/>
        </w:rPr>
        <w:t>*</w:t>
      </w:r>
      <w:r w:rsidRPr="00C6798B">
        <w:rPr>
          <w:sz w:val="18"/>
          <w:szCs w:val="18"/>
        </w:rPr>
        <w:t xml:space="preserve"> </w:t>
      </w:r>
      <w:r w:rsidR="00C6798B" w:rsidRPr="00C6798B">
        <w:rPr>
          <w:sz w:val="18"/>
          <w:szCs w:val="18"/>
        </w:rPr>
        <w:t>Усвојио Комитет на 140. седници (4-28.03.2024.</w:t>
      </w:r>
      <w:r w:rsidR="000E00A9" w:rsidRPr="00C6798B">
        <w:rPr>
          <w:sz w:val="18"/>
          <w:szCs w:val="18"/>
        </w:rPr>
        <w:t>).</w:t>
      </w:r>
    </w:p>
  </w:footnote>
  <w:footnote w:id="2">
    <w:p w14:paraId="633A3A87" w14:textId="0052DDFC" w:rsidR="0006044C" w:rsidRPr="00C6798B" w:rsidRDefault="0006044C">
      <w:pPr>
        <w:pStyle w:val="FootnoteText"/>
        <w:rPr>
          <w:sz w:val="18"/>
          <w:szCs w:val="18"/>
        </w:rPr>
      </w:pPr>
      <w:r w:rsidRPr="00C6798B">
        <w:rPr>
          <w:rStyle w:val="FootnoteReference"/>
          <w:sz w:val="18"/>
          <w:szCs w:val="18"/>
        </w:rPr>
        <w:footnoteRef/>
      </w:r>
      <w:r w:rsidRPr="00C6798B">
        <w:rPr>
          <w:sz w:val="18"/>
          <w:szCs w:val="18"/>
        </w:rPr>
        <w:t xml:space="preserve"> </w:t>
      </w:r>
      <w:hyperlink r:id="rId1" w:history="1">
        <w:r w:rsidRPr="00C6798B">
          <w:rPr>
            <w:rStyle w:val="Hyperlink"/>
            <w:sz w:val="18"/>
            <w:szCs w:val="18"/>
          </w:rPr>
          <w:t>CCPR/C/SRB/4</w:t>
        </w:r>
      </w:hyperlink>
      <w:r w:rsidRPr="00C6798B">
        <w:rPr>
          <w:sz w:val="18"/>
          <w:szCs w:val="18"/>
        </w:rPr>
        <w:t>.</w:t>
      </w:r>
    </w:p>
  </w:footnote>
  <w:footnote w:id="3">
    <w:p w14:paraId="78B3824C" w14:textId="57012D3E" w:rsidR="0006044C" w:rsidRPr="00C6798B" w:rsidRDefault="0006044C">
      <w:pPr>
        <w:pStyle w:val="FootnoteText"/>
        <w:rPr>
          <w:sz w:val="18"/>
          <w:szCs w:val="18"/>
        </w:rPr>
      </w:pPr>
      <w:r w:rsidRPr="00C6798B">
        <w:rPr>
          <w:rStyle w:val="FootnoteReference"/>
          <w:sz w:val="18"/>
          <w:szCs w:val="18"/>
        </w:rPr>
        <w:footnoteRef/>
      </w:r>
      <w:r w:rsidRPr="00C6798B">
        <w:rPr>
          <w:sz w:val="18"/>
          <w:szCs w:val="18"/>
        </w:rPr>
        <w:t xml:space="preserve"> </w:t>
      </w:r>
      <w:r w:rsidR="00C6798B" w:rsidRPr="00C6798B">
        <w:rPr>
          <w:sz w:val="18"/>
          <w:szCs w:val="18"/>
        </w:rPr>
        <w:t>Видети</w:t>
      </w:r>
      <w:r w:rsidRPr="00C6798B">
        <w:rPr>
          <w:sz w:val="18"/>
          <w:szCs w:val="18"/>
        </w:rPr>
        <w:t xml:space="preserve"> </w:t>
      </w:r>
      <w:hyperlink r:id="rId2" w:history="1">
        <w:r w:rsidRPr="00C6798B">
          <w:rPr>
            <w:rStyle w:val="Hyperlink"/>
            <w:sz w:val="18"/>
            <w:szCs w:val="18"/>
          </w:rPr>
          <w:t>CCPR/C/SR.4093</w:t>
        </w:r>
      </w:hyperlink>
      <w:r w:rsidRPr="00C6798B">
        <w:rPr>
          <w:sz w:val="18"/>
          <w:szCs w:val="18"/>
        </w:rPr>
        <w:t xml:space="preserve"> </w:t>
      </w:r>
      <w:r w:rsidR="00C6798B" w:rsidRPr="00C6798B">
        <w:rPr>
          <w:sz w:val="18"/>
          <w:szCs w:val="18"/>
        </w:rPr>
        <w:t>и</w:t>
      </w:r>
      <w:r w:rsidRPr="00C6798B">
        <w:rPr>
          <w:sz w:val="18"/>
          <w:szCs w:val="18"/>
        </w:rPr>
        <w:t xml:space="preserve"> </w:t>
      </w:r>
      <w:hyperlink r:id="rId3" w:history="1">
        <w:r w:rsidRPr="00C6798B">
          <w:rPr>
            <w:rStyle w:val="Hyperlink"/>
            <w:sz w:val="18"/>
            <w:szCs w:val="18"/>
          </w:rPr>
          <w:t>CCPR/C/SR.4094</w:t>
        </w:r>
      </w:hyperlink>
      <w:r w:rsidRPr="00C6798B">
        <w:rPr>
          <w:sz w:val="18"/>
          <w:szCs w:val="18"/>
        </w:rPr>
        <w:t>.</w:t>
      </w:r>
    </w:p>
  </w:footnote>
  <w:footnote w:id="4">
    <w:p w14:paraId="2375774E" w14:textId="3B295D97" w:rsidR="000011CB" w:rsidRDefault="000011CB">
      <w:pPr>
        <w:pStyle w:val="FootnoteText"/>
      </w:pPr>
      <w:r>
        <w:rPr>
          <w:rStyle w:val="FootnoteReference"/>
        </w:rPr>
        <w:footnoteRef/>
      </w:r>
      <w:r>
        <w:t xml:space="preserve"> </w:t>
      </w:r>
      <w:r>
        <w:t>CCPR/C/SRB/Q/4</w:t>
      </w:r>
    </w:p>
  </w:footnote>
  <w:footnote w:id="5">
    <w:p w14:paraId="3C9A6736" w14:textId="7F622462" w:rsidR="000011CB" w:rsidRDefault="000011CB">
      <w:pPr>
        <w:pStyle w:val="FootnoteText"/>
      </w:pPr>
      <w:r>
        <w:rPr>
          <w:rStyle w:val="FootnoteReference"/>
        </w:rPr>
        <w:footnoteRef/>
      </w:r>
      <w:r>
        <w:t xml:space="preserve"> </w:t>
      </w:r>
      <w:r>
        <w:t>CCPR/C/SRB/RQ/4</w:t>
      </w:r>
    </w:p>
  </w:footnote>
  <w:footnote w:id="6">
    <w:p w14:paraId="7A579760" w14:textId="22B53524" w:rsidR="000011CB" w:rsidRDefault="000011CB">
      <w:pPr>
        <w:pStyle w:val="FootnoteText"/>
      </w:pPr>
      <w:r>
        <w:rPr>
          <w:rStyle w:val="FootnoteReference"/>
        </w:rPr>
        <w:footnoteRef/>
      </w:r>
      <w:r>
        <w:t xml:space="preserve"> </w:t>
      </w:r>
      <w:r>
        <w:t>CCPR/C/SRB/CO/3</w:t>
      </w:r>
    </w:p>
  </w:footnote>
  <w:footnote w:id="7">
    <w:p w14:paraId="23502D33" w14:textId="3ED26657" w:rsidR="0006044C" w:rsidRPr="00C6798B" w:rsidRDefault="0006044C">
      <w:pPr>
        <w:pStyle w:val="FootnoteText"/>
      </w:pPr>
      <w:r w:rsidRPr="00C6798B">
        <w:rPr>
          <w:rStyle w:val="FootnoteReference"/>
          <w:sz w:val="18"/>
          <w:szCs w:val="18"/>
        </w:rPr>
        <w:footnoteRef/>
      </w:r>
      <w:r w:rsidRPr="00C6798B">
        <w:rPr>
          <w:sz w:val="18"/>
          <w:szCs w:val="18"/>
        </w:rPr>
        <w:t xml:space="preserve"> </w:t>
      </w:r>
      <w:r w:rsidR="00C6798B" w:rsidRPr="00C6798B">
        <w:rPr>
          <w:sz w:val="18"/>
          <w:szCs w:val="18"/>
        </w:rPr>
        <w:t xml:space="preserve">Све </w:t>
      </w:r>
      <w:r w:rsidR="00C6798B" w:rsidRPr="00C6798B">
        <w:rPr>
          <w:sz w:val="18"/>
          <w:szCs w:val="18"/>
        </w:rPr>
        <w:t xml:space="preserve">референце на Косово у овом документу треба схватити као референце које су у потпуности у складу са резолуцијом 1244 Савета безбедности </w:t>
      </w:r>
      <w:r w:rsidRPr="00C6798B">
        <w:rPr>
          <w:sz w:val="18"/>
          <w:szCs w:val="18"/>
        </w:rPr>
        <w:t>(1999).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800F" w14:textId="3B7981D7" w:rsidR="00936C97" w:rsidRPr="00936C97" w:rsidRDefault="00936C97" w:rsidP="00936C97">
    <w:pPr>
      <w:pStyle w:val="Header"/>
      <w:jc w:val="right"/>
      <w:rPr>
        <w:sz w:val="24"/>
        <w:szCs w:val="24"/>
      </w:rPr>
    </w:pPr>
    <w:r w:rsidRPr="00936C97">
      <w:rPr>
        <w:sz w:val="24"/>
        <w:szCs w:val="24"/>
      </w:rPr>
      <w:t>CCPR/C/SRB/CO/4</w:t>
    </w:r>
  </w:p>
  <w:p w14:paraId="3EB196C4" w14:textId="77777777" w:rsidR="00936C97" w:rsidRDefault="0093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D51"/>
    <w:multiLevelType w:val="hybridMultilevel"/>
    <w:tmpl w:val="D3A61EA8"/>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0BD52F29"/>
    <w:multiLevelType w:val="hybridMultilevel"/>
    <w:tmpl w:val="CBC4D6EE"/>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13560C07"/>
    <w:multiLevelType w:val="hybridMultilevel"/>
    <w:tmpl w:val="4FE43AE2"/>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252A734A"/>
    <w:multiLevelType w:val="hybridMultilevel"/>
    <w:tmpl w:val="80C23944"/>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2EFA73E8"/>
    <w:multiLevelType w:val="hybridMultilevel"/>
    <w:tmpl w:val="94285754"/>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3587426C"/>
    <w:multiLevelType w:val="hybridMultilevel"/>
    <w:tmpl w:val="B202882A"/>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3DBD3029"/>
    <w:multiLevelType w:val="hybridMultilevel"/>
    <w:tmpl w:val="AA84127E"/>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5657208C"/>
    <w:multiLevelType w:val="hybridMultilevel"/>
    <w:tmpl w:val="A1360D3A"/>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5F0F053B"/>
    <w:multiLevelType w:val="hybridMultilevel"/>
    <w:tmpl w:val="BF12988A"/>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68FE2249"/>
    <w:multiLevelType w:val="hybridMultilevel"/>
    <w:tmpl w:val="15A245F4"/>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7ACF3A9D"/>
    <w:multiLevelType w:val="hybridMultilevel"/>
    <w:tmpl w:val="B1FC9E0E"/>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7AF26C33"/>
    <w:multiLevelType w:val="hybridMultilevel"/>
    <w:tmpl w:val="6A2CA8EC"/>
    <w:lvl w:ilvl="0" w:tplc="B332178E">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8"/>
  </w:num>
  <w:num w:numId="6">
    <w:abstractNumId w:val="11"/>
  </w:num>
  <w:num w:numId="7">
    <w:abstractNumId w:val="6"/>
  </w:num>
  <w:num w:numId="8">
    <w:abstractNumId w:val="5"/>
  </w:num>
  <w:num w:numId="9">
    <w:abstractNumId w:val="2"/>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8"/>
    <w:rsid w:val="000011CB"/>
    <w:rsid w:val="00010189"/>
    <w:rsid w:val="00022162"/>
    <w:rsid w:val="00053DC8"/>
    <w:rsid w:val="0006044C"/>
    <w:rsid w:val="000E00A9"/>
    <w:rsid w:val="002034A5"/>
    <w:rsid w:val="002204DA"/>
    <w:rsid w:val="00291B31"/>
    <w:rsid w:val="002F02B9"/>
    <w:rsid w:val="003065F5"/>
    <w:rsid w:val="00312972"/>
    <w:rsid w:val="0035094C"/>
    <w:rsid w:val="00357E8B"/>
    <w:rsid w:val="003810EB"/>
    <w:rsid w:val="003B65C6"/>
    <w:rsid w:val="00453543"/>
    <w:rsid w:val="004B29C9"/>
    <w:rsid w:val="004D0D52"/>
    <w:rsid w:val="00540D95"/>
    <w:rsid w:val="00571027"/>
    <w:rsid w:val="005820C6"/>
    <w:rsid w:val="005C3DC6"/>
    <w:rsid w:val="005D413E"/>
    <w:rsid w:val="00677756"/>
    <w:rsid w:val="006C6C7C"/>
    <w:rsid w:val="0071710D"/>
    <w:rsid w:val="00740948"/>
    <w:rsid w:val="00743F16"/>
    <w:rsid w:val="008311B3"/>
    <w:rsid w:val="00847A72"/>
    <w:rsid w:val="00856F2E"/>
    <w:rsid w:val="008708D2"/>
    <w:rsid w:val="00895C9E"/>
    <w:rsid w:val="008B6717"/>
    <w:rsid w:val="00923C9C"/>
    <w:rsid w:val="00936C97"/>
    <w:rsid w:val="009B6646"/>
    <w:rsid w:val="00A00073"/>
    <w:rsid w:val="00A17009"/>
    <w:rsid w:val="00A46C73"/>
    <w:rsid w:val="00A737A7"/>
    <w:rsid w:val="00AD1534"/>
    <w:rsid w:val="00AF081C"/>
    <w:rsid w:val="00B10DE5"/>
    <w:rsid w:val="00B152D3"/>
    <w:rsid w:val="00B33D35"/>
    <w:rsid w:val="00B33ED7"/>
    <w:rsid w:val="00B44F22"/>
    <w:rsid w:val="00B51985"/>
    <w:rsid w:val="00C261E2"/>
    <w:rsid w:val="00C6798B"/>
    <w:rsid w:val="00C70D7B"/>
    <w:rsid w:val="00D4114B"/>
    <w:rsid w:val="00D52058"/>
    <w:rsid w:val="00D561E3"/>
    <w:rsid w:val="00D707AB"/>
    <w:rsid w:val="00D92CF3"/>
    <w:rsid w:val="00DD0C65"/>
    <w:rsid w:val="00DD6A30"/>
    <w:rsid w:val="00EF5407"/>
    <w:rsid w:val="00F67605"/>
    <w:rsid w:val="00FC66FB"/>
    <w:rsid w:val="00FD5012"/>
    <w:rsid w:val="00FE1514"/>
  </w:rsids>
  <m:mathPr>
    <m:mathFont m:val="Cambria Math"/>
    <m:brkBin m:val="before"/>
    <m:brkBinSub m:val="--"/>
    <m:smallFrac m:val="0"/>
    <m:dispDef/>
    <m:lMargin m:val="0"/>
    <m:rMargin m:val="0"/>
    <m:defJc m:val="centerGroup"/>
    <m:wrapIndent m:val="1440"/>
    <m:intLim m:val="subSup"/>
    <m:naryLim m:val="undOvr"/>
  </m:mathPr>
  <w:themeFontLang w:val="sr-Cyrl-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8288"/>
  <w15:chartTrackingRefBased/>
  <w15:docId w15:val="{6C5B4266-6613-40A1-831B-FE3E162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Cyrl-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C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053DC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53DC8"/>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53DC8"/>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53DC8"/>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53D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3D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3D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3D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DC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053DC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53DC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53DC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53DC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53D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3D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3D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3DC8"/>
    <w:rPr>
      <w:rFonts w:eastAsiaTheme="majorEastAsia" w:cstheme="majorBidi"/>
      <w:color w:val="272727" w:themeColor="text1" w:themeTint="D8"/>
    </w:rPr>
  </w:style>
  <w:style w:type="paragraph" w:styleId="Title">
    <w:name w:val="Title"/>
    <w:basedOn w:val="Normal"/>
    <w:next w:val="Normal"/>
    <w:link w:val="TitleChar"/>
    <w:uiPriority w:val="10"/>
    <w:qFormat/>
    <w:rsid w:val="00053D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D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3D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3D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3DC8"/>
    <w:pPr>
      <w:spacing w:before="160"/>
      <w:jc w:val="center"/>
    </w:pPr>
    <w:rPr>
      <w:i/>
      <w:iCs/>
      <w:color w:val="404040" w:themeColor="text1" w:themeTint="BF"/>
    </w:rPr>
  </w:style>
  <w:style w:type="character" w:customStyle="1" w:styleId="QuoteChar">
    <w:name w:val="Quote Char"/>
    <w:basedOn w:val="DefaultParagraphFont"/>
    <w:link w:val="Quote"/>
    <w:uiPriority w:val="29"/>
    <w:rsid w:val="00053DC8"/>
    <w:rPr>
      <w:i/>
      <w:iCs/>
      <w:color w:val="404040" w:themeColor="text1" w:themeTint="BF"/>
    </w:rPr>
  </w:style>
  <w:style w:type="paragraph" w:styleId="ListParagraph">
    <w:name w:val="List Paragraph"/>
    <w:basedOn w:val="Normal"/>
    <w:uiPriority w:val="34"/>
    <w:qFormat/>
    <w:rsid w:val="00053DC8"/>
    <w:pPr>
      <w:ind w:left="720"/>
      <w:contextualSpacing/>
    </w:pPr>
  </w:style>
  <w:style w:type="character" w:styleId="IntenseEmphasis">
    <w:name w:val="Intense Emphasis"/>
    <w:basedOn w:val="DefaultParagraphFont"/>
    <w:uiPriority w:val="21"/>
    <w:qFormat/>
    <w:rsid w:val="00053DC8"/>
    <w:rPr>
      <w:i/>
      <w:iCs/>
      <w:color w:val="365F91" w:themeColor="accent1" w:themeShade="BF"/>
    </w:rPr>
  </w:style>
  <w:style w:type="paragraph" w:styleId="IntenseQuote">
    <w:name w:val="Intense Quote"/>
    <w:basedOn w:val="Normal"/>
    <w:next w:val="Normal"/>
    <w:link w:val="IntenseQuoteChar"/>
    <w:uiPriority w:val="30"/>
    <w:qFormat/>
    <w:rsid w:val="00053DC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53DC8"/>
    <w:rPr>
      <w:i/>
      <w:iCs/>
      <w:color w:val="365F91" w:themeColor="accent1" w:themeShade="BF"/>
    </w:rPr>
  </w:style>
  <w:style w:type="character" w:styleId="IntenseReference">
    <w:name w:val="Intense Reference"/>
    <w:basedOn w:val="DefaultParagraphFont"/>
    <w:uiPriority w:val="32"/>
    <w:qFormat/>
    <w:rsid w:val="00053DC8"/>
    <w:rPr>
      <w:b/>
      <w:bCs/>
      <w:smallCaps/>
      <w:color w:val="365F91" w:themeColor="accent1" w:themeShade="BF"/>
      <w:spacing w:val="5"/>
    </w:rPr>
  </w:style>
  <w:style w:type="paragraph" w:styleId="FootnoteText">
    <w:name w:val="footnote text"/>
    <w:basedOn w:val="Normal"/>
    <w:link w:val="FootnoteTextChar"/>
    <w:uiPriority w:val="99"/>
    <w:semiHidden/>
    <w:unhideWhenUsed/>
    <w:rsid w:val="00060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44C"/>
    <w:rPr>
      <w:sz w:val="20"/>
      <w:szCs w:val="20"/>
    </w:rPr>
  </w:style>
  <w:style w:type="character" w:styleId="FootnoteReference">
    <w:name w:val="footnote reference"/>
    <w:basedOn w:val="DefaultParagraphFont"/>
    <w:uiPriority w:val="99"/>
    <w:semiHidden/>
    <w:unhideWhenUsed/>
    <w:rsid w:val="0006044C"/>
    <w:rPr>
      <w:vertAlign w:val="superscript"/>
    </w:rPr>
  </w:style>
  <w:style w:type="character" w:styleId="Hyperlink">
    <w:name w:val="Hyperlink"/>
    <w:basedOn w:val="DefaultParagraphFont"/>
    <w:uiPriority w:val="99"/>
    <w:unhideWhenUsed/>
    <w:rsid w:val="00DD0C65"/>
    <w:rPr>
      <w:color w:val="0000FF" w:themeColor="hyperlink"/>
      <w:u w:val="single"/>
    </w:rPr>
  </w:style>
  <w:style w:type="character" w:customStyle="1" w:styleId="UnresolvedMention">
    <w:name w:val="Unresolved Mention"/>
    <w:basedOn w:val="DefaultParagraphFont"/>
    <w:uiPriority w:val="99"/>
    <w:semiHidden/>
    <w:unhideWhenUsed/>
    <w:rsid w:val="00DD0C65"/>
    <w:rPr>
      <w:color w:val="605E5C"/>
      <w:shd w:val="clear" w:color="auto" w:fill="E1DFDD"/>
    </w:rPr>
  </w:style>
  <w:style w:type="paragraph" w:styleId="Header">
    <w:name w:val="header"/>
    <w:basedOn w:val="Normal"/>
    <w:link w:val="HeaderChar"/>
    <w:uiPriority w:val="99"/>
    <w:unhideWhenUsed/>
    <w:rsid w:val="00936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97"/>
  </w:style>
  <w:style w:type="paragraph" w:styleId="Footer">
    <w:name w:val="footer"/>
    <w:basedOn w:val="Normal"/>
    <w:link w:val="FooterChar"/>
    <w:uiPriority w:val="99"/>
    <w:unhideWhenUsed/>
    <w:rsid w:val="0093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97"/>
  </w:style>
  <w:style w:type="character" w:styleId="CommentReference">
    <w:name w:val="annotation reference"/>
    <w:basedOn w:val="DefaultParagraphFont"/>
    <w:uiPriority w:val="99"/>
    <w:semiHidden/>
    <w:unhideWhenUsed/>
    <w:rsid w:val="00EF5407"/>
    <w:rPr>
      <w:sz w:val="16"/>
      <w:szCs w:val="16"/>
    </w:rPr>
  </w:style>
  <w:style w:type="paragraph" w:styleId="CommentText">
    <w:name w:val="annotation text"/>
    <w:basedOn w:val="Normal"/>
    <w:link w:val="CommentTextChar"/>
    <w:uiPriority w:val="99"/>
    <w:unhideWhenUsed/>
    <w:rsid w:val="00EF5407"/>
    <w:pPr>
      <w:spacing w:line="240" w:lineRule="auto"/>
    </w:pPr>
    <w:rPr>
      <w:sz w:val="20"/>
      <w:szCs w:val="20"/>
    </w:rPr>
  </w:style>
  <w:style w:type="character" w:customStyle="1" w:styleId="CommentTextChar">
    <w:name w:val="Comment Text Char"/>
    <w:basedOn w:val="DefaultParagraphFont"/>
    <w:link w:val="CommentText"/>
    <w:uiPriority w:val="99"/>
    <w:rsid w:val="00EF5407"/>
    <w:rPr>
      <w:sz w:val="20"/>
      <w:szCs w:val="20"/>
    </w:rPr>
  </w:style>
  <w:style w:type="paragraph" w:styleId="BalloonText">
    <w:name w:val="Balloon Text"/>
    <w:basedOn w:val="Normal"/>
    <w:link w:val="BalloonTextChar"/>
    <w:uiPriority w:val="99"/>
    <w:semiHidden/>
    <w:unhideWhenUsed/>
    <w:rsid w:val="00EF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CPR%2FC%2FSR.4094&amp;Lang=en" TargetMode="External"/><Relationship Id="rId2" Type="http://schemas.openxmlformats.org/officeDocument/2006/relationships/hyperlink" Target="https://tbinternet.ohchr.org/_layouts/15/treatybodyexternal/Download.aspx?symbolno=CCPR%2FC%2FSR.4093&amp;Lang=en" TargetMode="External"/><Relationship Id="rId1" Type="http://schemas.openxmlformats.org/officeDocument/2006/relationships/hyperlink" Target="https://undocs.org/Home/Mobile?FinalSymbol=CCPR%2FC%2FSRB%2F4&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4861-9764-4770-90C3-4A8B3579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Aksentijević</dc:creator>
  <cp:keywords/>
  <dc:description/>
  <cp:lastModifiedBy>Svetlana Đorđević</cp:lastModifiedBy>
  <cp:revision>6</cp:revision>
  <cp:lastPrinted>2024-05-17T10:25:00Z</cp:lastPrinted>
  <dcterms:created xsi:type="dcterms:W3CDTF">2024-05-14T12:31:00Z</dcterms:created>
  <dcterms:modified xsi:type="dcterms:W3CDTF">2024-05-17T10:25:00Z</dcterms:modified>
</cp:coreProperties>
</file>