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F00" w:rsidRDefault="00683382">
      <w:pPr>
        <w:spacing w:line="210" w:lineRule="atLeast"/>
      </w:pPr>
      <w:bookmarkStart w:id="0" w:name="_GoBack"/>
      <w:bookmarkEnd w:id="0"/>
      <w:r>
        <w:rPr>
          <w:rFonts w:ascii="Verdana" w:eastAsia="Verdana" w:hAnsi="Verdana" w:cs="Verdana"/>
          <w:color w:val="000000"/>
        </w:rPr>
        <w:t xml:space="preserve">Преузето са </w:t>
      </w:r>
      <w:hyperlink r:id="rId4" w:history="1">
        <w:r>
          <w:rPr>
            <w:rFonts w:ascii="Verdana" w:eastAsia="Verdana" w:hAnsi="Verdana" w:cs="Verdana"/>
            <w:color w:val="337AB7"/>
          </w:rPr>
          <w:t>https://pravno-informacioni-sistem.rs</w:t>
        </w:r>
      </w:hyperlink>
    </w:p>
    <w:p w:rsidR="002A2F00" w:rsidRDefault="00683382">
      <w:pPr>
        <w:spacing w:line="137" w:lineRule="atLeast"/>
      </w:pPr>
      <w:r>
        <w:rPr>
          <w:rFonts w:ascii="Verdana" w:eastAsia="Verdana" w:hAnsi="Verdana" w:cs="Verdana"/>
        </w:rPr>
        <w:br/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На основу члана 38. </w:t>
      </w:r>
      <w:proofErr w:type="gramStart"/>
      <w:r>
        <w:rPr>
          <w:rFonts w:ascii="Verdana" w:eastAsia="Verdana" w:hAnsi="Verdana" w:cs="Verdana"/>
        </w:rPr>
        <w:t>став</w:t>
      </w:r>
      <w:proofErr w:type="gramEnd"/>
      <w:r>
        <w:rPr>
          <w:rFonts w:ascii="Verdana" w:eastAsia="Verdana" w:hAnsi="Verdana" w:cs="Verdana"/>
        </w:rPr>
        <w:t xml:space="preserve"> 1. Закона о планском систему Републике Србије („Службени гласник РС”, број 30/18),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Влада усваја</w:t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АКЦИОНИ ПЛАН</w:t>
      </w:r>
    </w:p>
    <w:p w:rsidR="002A2F00" w:rsidRDefault="00683382">
      <w:pPr>
        <w:spacing w:line="210" w:lineRule="atLeast"/>
        <w:jc w:val="center"/>
      </w:pPr>
      <w:proofErr w:type="gramStart"/>
      <w:r>
        <w:rPr>
          <w:rFonts w:ascii="Verdana" w:eastAsia="Verdana" w:hAnsi="Verdana" w:cs="Verdana"/>
          <w:b/>
        </w:rPr>
        <w:t>за</w:t>
      </w:r>
      <w:proofErr w:type="gramEnd"/>
      <w:r>
        <w:rPr>
          <w:rFonts w:ascii="Verdana" w:eastAsia="Verdana" w:hAnsi="Verdana" w:cs="Verdana"/>
          <w:b/>
        </w:rPr>
        <w:t xml:space="preserve"> 2026. </w:t>
      </w:r>
      <w:proofErr w:type="gramStart"/>
      <w:r>
        <w:rPr>
          <w:rFonts w:ascii="Verdana" w:eastAsia="Verdana" w:hAnsi="Verdana" w:cs="Verdana"/>
          <w:b/>
        </w:rPr>
        <w:t>и</w:t>
      </w:r>
      <w:proofErr w:type="gramEnd"/>
      <w:r>
        <w:rPr>
          <w:rFonts w:ascii="Verdana" w:eastAsia="Verdana" w:hAnsi="Verdana" w:cs="Verdana"/>
          <w:b/>
        </w:rPr>
        <w:t xml:space="preserve"> 2027. </w:t>
      </w:r>
      <w:proofErr w:type="gramStart"/>
      <w:r>
        <w:rPr>
          <w:rFonts w:ascii="Verdana" w:eastAsia="Verdana" w:hAnsi="Verdana" w:cs="Verdana"/>
          <w:b/>
        </w:rPr>
        <w:t>годину</w:t>
      </w:r>
      <w:proofErr w:type="gramEnd"/>
      <w:r>
        <w:rPr>
          <w:rFonts w:ascii="Verdana" w:eastAsia="Verdana" w:hAnsi="Verdana" w:cs="Verdana"/>
          <w:b/>
        </w:rPr>
        <w:t xml:space="preserve"> за спровођење Стратегије превенције и заштите од дискриминације за период од 2022. </w:t>
      </w:r>
      <w:proofErr w:type="gramStart"/>
      <w:r>
        <w:rPr>
          <w:rFonts w:ascii="Verdana" w:eastAsia="Verdana" w:hAnsi="Verdana" w:cs="Verdana"/>
          <w:b/>
        </w:rPr>
        <w:t>до</w:t>
      </w:r>
      <w:proofErr w:type="gramEnd"/>
      <w:r>
        <w:rPr>
          <w:rFonts w:ascii="Verdana" w:eastAsia="Verdana" w:hAnsi="Verdana" w:cs="Verdana"/>
          <w:b/>
        </w:rPr>
        <w:t xml:space="preserve"> 2030. </w:t>
      </w:r>
      <w:proofErr w:type="gramStart"/>
      <w:r>
        <w:rPr>
          <w:rFonts w:ascii="Verdana" w:eastAsia="Verdana" w:hAnsi="Verdana" w:cs="Verdana"/>
          <w:b/>
        </w:rPr>
        <w:t>године</w:t>
      </w:r>
      <w:proofErr w:type="gramEnd"/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 xml:space="preserve">"Службени гласник РС", број 14 од 13. </w:t>
      </w:r>
      <w:proofErr w:type="gramStart"/>
      <w:r>
        <w:rPr>
          <w:rFonts w:ascii="Verdana" w:eastAsia="Verdana" w:hAnsi="Verdana" w:cs="Verdana"/>
        </w:rPr>
        <w:t>фебруара</w:t>
      </w:r>
      <w:proofErr w:type="gramEnd"/>
      <w:r>
        <w:rPr>
          <w:rFonts w:ascii="Verdana" w:eastAsia="Verdana" w:hAnsi="Verdana" w:cs="Verdana"/>
        </w:rPr>
        <w:t xml:space="preserve"> 2026.</w:t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>I. УВОД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Акциони план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за спровођење Стратегије превенције</w:t>
      </w:r>
      <w:r>
        <w:rPr>
          <w:rFonts w:ascii="Verdana" w:eastAsia="Verdana" w:hAnsi="Verdana" w:cs="Verdana"/>
        </w:rPr>
        <w:t xml:space="preserve"> и заштите од дискриминације за период од 2022.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(у даљем тексту: Акциони план) представља документ јавне политике који се доноси ради операционализације и остваривања општег и посебних циљева и реализације мера предвиђених Стратегијом преве</w:t>
      </w:r>
      <w:r>
        <w:rPr>
          <w:rFonts w:ascii="Verdana" w:eastAsia="Verdana" w:hAnsi="Verdana" w:cs="Verdana"/>
        </w:rPr>
        <w:t xml:space="preserve">нције и заштите од дискриминације за период од 2022.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(„Службени гласник РС”, број 12/22) (у даљем тексту: Стратегија).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На основу Годишњих извештаја за 2022.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2023.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о спровођењу Акционог плана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за спровођењ</w:t>
      </w:r>
      <w:r>
        <w:rPr>
          <w:rFonts w:ascii="Verdana" w:eastAsia="Verdana" w:hAnsi="Verdana" w:cs="Verdana"/>
        </w:rPr>
        <w:t xml:space="preserve">е Стратегије, Министарство за људска и мањинска права и друштвени дијалог је, као надлежни предлагач, започелo са процесом израде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. Међутим, наведени акциони план није усвојен због тога што из начина на ко</w:t>
      </w:r>
      <w:r>
        <w:rPr>
          <w:rFonts w:ascii="Verdana" w:eastAsia="Verdana" w:hAnsi="Verdana" w:cs="Verdana"/>
        </w:rPr>
        <w:t xml:space="preserve">ји су показатељи били дефинисани у Стратегији није било могуће утврдити њихову вредност, или из саме дефиниције показатеља није било могуће мерити ефекте спровођења политика. Стога се у другој половини 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приступило изменама и допунама Стратегије</w:t>
      </w:r>
      <w:r>
        <w:rPr>
          <w:rFonts w:ascii="Verdana" w:eastAsia="Verdana" w:hAnsi="Verdana" w:cs="Verdana"/>
        </w:rPr>
        <w:t xml:space="preserve"> у погледу дефинисања показатеља, као и изради предлога акционог плана са измењеним показатељима и делимично ажурираним активностима које је садржала радна верзија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Влада је усвојила Стратегију на седници</w:t>
      </w:r>
      <w:r>
        <w:rPr>
          <w:rFonts w:ascii="Verdana" w:eastAsia="Verdana" w:hAnsi="Verdana" w:cs="Verdana"/>
        </w:rPr>
        <w:t xml:space="preserve"> одржаној 20. </w:t>
      </w:r>
      <w:proofErr w:type="gramStart"/>
      <w:r>
        <w:rPr>
          <w:rFonts w:ascii="Verdana" w:eastAsia="Verdana" w:hAnsi="Verdana" w:cs="Verdana"/>
        </w:rPr>
        <w:t>јануара</w:t>
      </w:r>
      <w:proofErr w:type="gramEnd"/>
      <w:r>
        <w:rPr>
          <w:rFonts w:ascii="Verdana" w:eastAsia="Verdana" w:hAnsi="Verdana" w:cs="Verdana"/>
        </w:rPr>
        <w:t xml:space="preserve"> 2022.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док је Акциони план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усвојен и објављен 12. </w:t>
      </w:r>
      <w:proofErr w:type="gramStart"/>
      <w:r>
        <w:rPr>
          <w:rFonts w:ascii="Verdana" w:eastAsia="Verdana" w:hAnsi="Verdana" w:cs="Verdana"/>
        </w:rPr>
        <w:t>октобра</w:t>
      </w:r>
      <w:proofErr w:type="gramEnd"/>
      <w:r>
        <w:rPr>
          <w:rFonts w:ascii="Verdana" w:eastAsia="Verdana" w:hAnsi="Verdana" w:cs="Verdana"/>
        </w:rPr>
        <w:t xml:space="preserve"> 2022.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(„Службени гласник РС”, број 112/22). Како би се благовремено приступило изради предлога новог акционог плана, решењем министра</w:t>
      </w:r>
      <w:r>
        <w:rPr>
          <w:rFonts w:ascii="Verdana" w:eastAsia="Verdana" w:hAnsi="Verdana" w:cs="Verdana"/>
        </w:rPr>
        <w:t xml:space="preserve"> за људска и мањинска права и друштвени дијалог од 27. </w:t>
      </w:r>
      <w:proofErr w:type="gramStart"/>
      <w:r>
        <w:rPr>
          <w:rFonts w:ascii="Verdana" w:eastAsia="Verdana" w:hAnsi="Verdana" w:cs="Verdana"/>
        </w:rPr>
        <w:t>октобра</w:t>
      </w:r>
      <w:proofErr w:type="gramEnd"/>
      <w:r>
        <w:rPr>
          <w:rFonts w:ascii="Verdana" w:eastAsia="Verdana" w:hAnsi="Verdana" w:cs="Verdana"/>
        </w:rPr>
        <w:t xml:space="preserve"> 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основана је Радна група за израду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за спровођење Стратегије (у даљем тексту: Радна група).</w:t>
      </w:r>
    </w:p>
    <w:p w:rsidR="002A2F00" w:rsidRDefault="00683382">
      <w:pPr>
        <w:spacing w:line="210" w:lineRule="atLeast"/>
      </w:pPr>
      <w:proofErr w:type="gramStart"/>
      <w:r>
        <w:rPr>
          <w:rFonts w:ascii="Verdana" w:eastAsia="Verdana" w:hAnsi="Verdana" w:cs="Verdana"/>
        </w:rPr>
        <w:t xml:space="preserve">Радну групу чинили су представници и </w:t>
      </w:r>
      <w:r>
        <w:rPr>
          <w:rFonts w:ascii="Verdana" w:eastAsia="Verdana" w:hAnsi="Verdana" w:cs="Verdana"/>
        </w:rPr>
        <w:t>представнице следећих институција и организација: Министарства за људска и мањинска права и друштвени дијалог; Министарства привреде; Министарства пољопривреде, шумарства и водопривреде; Министарства заштите животне средине; Министарства унутрашње и спољне</w:t>
      </w:r>
      <w:r>
        <w:rPr>
          <w:rFonts w:ascii="Verdana" w:eastAsia="Verdana" w:hAnsi="Verdana" w:cs="Verdana"/>
        </w:rPr>
        <w:t xml:space="preserve"> трговине; Министарства правде; Министарства државне управе и локалне самоуправе; Министарства унутрашњих послова; </w:t>
      </w:r>
      <w:r>
        <w:rPr>
          <w:rFonts w:ascii="Verdana" w:eastAsia="Verdana" w:hAnsi="Verdana" w:cs="Verdana"/>
        </w:rPr>
        <w:lastRenderedPageBreak/>
        <w:t>Министарства одбране; Министарства спољних послова; Министарства за европске интеграције; Министарства просвете; Министарства за рад, запошља</w:t>
      </w:r>
      <w:r>
        <w:rPr>
          <w:rFonts w:ascii="Verdana" w:eastAsia="Verdana" w:hAnsi="Verdana" w:cs="Verdana"/>
        </w:rPr>
        <w:t>вање, борачка и социјална питања; Министарства за бригу о породици и демографију; Министарства спорта; Министарства културе; Министарства за бригу о селу; Министарства туризма и омладине; Министарства информисања и телекомуникација; Републичког секретарија</w:t>
      </w:r>
      <w:r>
        <w:rPr>
          <w:rFonts w:ascii="Verdana" w:eastAsia="Verdana" w:hAnsi="Verdana" w:cs="Verdana"/>
        </w:rPr>
        <w:t>та за законодавство; Републичког завода за статистику; Повереника за заштиту равноправности; Повереника за информације од јавног значаја и заштиту података о личности; Заштитника грађана; Националне службе за запошљавање; Националне академије за јавну упра</w:t>
      </w:r>
      <w:r>
        <w:rPr>
          <w:rFonts w:ascii="Verdana" w:eastAsia="Verdana" w:hAnsi="Verdana" w:cs="Verdana"/>
        </w:rPr>
        <w:t>ву; Правосудне академије; Координационог тела за родну равноправност; Врховног јавног тужилаштва; Академске инклузивне асоцијације; ГРУПЕ 484; Фондације „Ана и Владе Дивац”; Мреже организација за децу Србије; Кровне организације младих Србије; „Центра за н</w:t>
      </w:r>
      <w:r>
        <w:rPr>
          <w:rFonts w:ascii="Verdana" w:eastAsia="Verdana" w:hAnsi="Verdana" w:cs="Verdana"/>
        </w:rPr>
        <w:t>есталу и злостављању децу”, као и Асоцијације правника „АЕПА”.</w:t>
      </w:r>
      <w:proofErr w:type="gramEnd"/>
      <w:r>
        <w:rPr>
          <w:rFonts w:ascii="Verdana" w:eastAsia="Verdana" w:hAnsi="Verdana" w:cs="Verdana"/>
        </w:rPr>
        <w:t xml:space="preserve"> Задатак Радне групе је био да у року од најдуже три месеца од почетка рада и у сарадњи са експертском групом, изради текст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за спровођење Стра</w:t>
      </w:r>
      <w:r>
        <w:rPr>
          <w:rFonts w:ascii="Verdana" w:eastAsia="Verdana" w:hAnsi="Verdana" w:cs="Verdana"/>
        </w:rPr>
        <w:t>тегије.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У складу са Решењем о оснивању Радне групе, формирана је експертска група за израду еx-post анализе и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за спровођење Стратегије. Ex-post анализа је достављена Министарству за људска и мањинска прав</w:t>
      </w:r>
      <w:r>
        <w:rPr>
          <w:rFonts w:ascii="Verdana" w:eastAsia="Verdana" w:hAnsi="Verdana" w:cs="Verdana"/>
        </w:rPr>
        <w:t xml:space="preserve">а и друштвени дијалог 30. </w:t>
      </w:r>
      <w:proofErr w:type="gramStart"/>
      <w:r>
        <w:rPr>
          <w:rFonts w:ascii="Verdana" w:eastAsia="Verdana" w:hAnsi="Verdana" w:cs="Verdana"/>
        </w:rPr>
        <w:t>октобра</w:t>
      </w:r>
      <w:proofErr w:type="gramEnd"/>
      <w:r>
        <w:rPr>
          <w:rFonts w:ascii="Verdana" w:eastAsia="Verdana" w:hAnsi="Verdana" w:cs="Verdana"/>
        </w:rPr>
        <w:t xml:space="preserve"> 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на основу које је израђена радна верзија текста Предлога акционог плана.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Министарство за људска и мањинска права и друштвени дијалог је у новембру 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методом прикупљања писаних коментара путем порт</w:t>
      </w:r>
      <w:r>
        <w:rPr>
          <w:rFonts w:ascii="Verdana" w:eastAsia="Verdana" w:hAnsi="Verdana" w:cs="Verdana"/>
        </w:rPr>
        <w:t xml:space="preserve">ала еКонсултације, као и путем електронске поште, спровело консултације о Предлогу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за спровођење Стратегије. Након тога, у периоду од 1.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22. </w:t>
      </w:r>
      <w:proofErr w:type="gramStart"/>
      <w:r>
        <w:rPr>
          <w:rFonts w:ascii="Verdana" w:eastAsia="Verdana" w:hAnsi="Verdana" w:cs="Verdana"/>
        </w:rPr>
        <w:t>марта</w:t>
      </w:r>
      <w:proofErr w:type="gramEnd"/>
      <w:r>
        <w:rPr>
          <w:rFonts w:ascii="Verdana" w:eastAsia="Verdana" w:hAnsi="Verdana" w:cs="Verdana"/>
        </w:rPr>
        <w:t xml:space="preserve"> 2024.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спроведена је и јавна расправа у трајању од 22 да</w:t>
      </w:r>
      <w:r>
        <w:rPr>
          <w:rFonts w:ascii="Verdana" w:eastAsia="Verdana" w:hAnsi="Verdana" w:cs="Verdana"/>
        </w:rPr>
        <w:t xml:space="preserve">на. Током израде текста Предлога акционог плана, Радна група се састала једанпут, након чега је текст упућен на мишљење надлежним институцијама. Процес прибављања мишљења трајао је од 24. </w:t>
      </w:r>
      <w:proofErr w:type="gramStart"/>
      <w:r>
        <w:rPr>
          <w:rFonts w:ascii="Verdana" w:eastAsia="Verdana" w:hAnsi="Verdana" w:cs="Verdana"/>
        </w:rPr>
        <w:t>маја</w:t>
      </w:r>
      <w:proofErr w:type="gramEnd"/>
      <w:r>
        <w:rPr>
          <w:rFonts w:ascii="Verdana" w:eastAsia="Verdana" w:hAnsi="Verdana" w:cs="Verdana"/>
        </w:rPr>
        <w:t xml:space="preserve"> до 6. </w:t>
      </w:r>
      <w:proofErr w:type="gramStart"/>
      <w:r>
        <w:rPr>
          <w:rFonts w:ascii="Verdana" w:eastAsia="Verdana" w:hAnsi="Verdana" w:cs="Verdana"/>
        </w:rPr>
        <w:t>јуна</w:t>
      </w:r>
      <w:proofErr w:type="gramEnd"/>
      <w:r>
        <w:rPr>
          <w:rFonts w:ascii="Verdana" w:eastAsia="Verdana" w:hAnsi="Verdana" w:cs="Verdana"/>
        </w:rPr>
        <w:t xml:space="preserve"> 2024.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а сва пристигла мишљења су размотрена,</w:t>
      </w:r>
      <w:r>
        <w:rPr>
          <w:rFonts w:ascii="Verdana" w:eastAsia="Verdana" w:hAnsi="Verdana" w:cs="Verdana"/>
        </w:rPr>
        <w:t xml:space="preserve"> и у складу са њима, текст Предлога акционог плана је допуњен. Након тога, Предлог акционог плана достављен је Министарству финансија, Републичком секретаријату за јавне политике и Републичком секретаријату за законодавство, ради даљег разматрања. Републич</w:t>
      </w:r>
      <w:r>
        <w:rPr>
          <w:rFonts w:ascii="Verdana" w:eastAsia="Verdana" w:hAnsi="Verdana" w:cs="Verdana"/>
        </w:rPr>
        <w:t xml:space="preserve">ки секретаријат за јавне политике је 27. </w:t>
      </w:r>
      <w:proofErr w:type="gramStart"/>
      <w:r>
        <w:rPr>
          <w:rFonts w:ascii="Verdana" w:eastAsia="Verdana" w:hAnsi="Verdana" w:cs="Verdana"/>
        </w:rPr>
        <w:t>децембра</w:t>
      </w:r>
      <w:proofErr w:type="gramEnd"/>
      <w:r>
        <w:rPr>
          <w:rFonts w:ascii="Verdana" w:eastAsia="Verdana" w:hAnsi="Verdana" w:cs="Verdana"/>
        </w:rPr>
        <w:t xml:space="preserve"> 2024.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доставио мишљење о Предлогу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које је садржало методолошке примедбе на овај документ јавне политике, посебно у погледу показатеља и недостајућих вредн</w:t>
      </w:r>
      <w:r>
        <w:rPr>
          <w:rFonts w:ascii="Verdana" w:eastAsia="Verdana" w:hAnsi="Verdana" w:cs="Verdana"/>
        </w:rPr>
        <w:t>ости за базне године.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Процес израде Предлога акционог плана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представља наставак и ревизију раније започетог процеса израде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који није усвојен. Резултати спроведених консултација, ј</w:t>
      </w:r>
      <w:r>
        <w:rPr>
          <w:rFonts w:ascii="Verdana" w:eastAsia="Verdana" w:hAnsi="Verdana" w:cs="Verdana"/>
        </w:rPr>
        <w:t>авне расправе и прибављених мишљења надлежних институција у оквиру тог процеса представљали су полазну основу за даље обликовање документа, при чему је надлежни предлагач приступио прилагођавању временског оквира и унапређењу показатеља.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lastRenderedPageBreak/>
        <w:t xml:space="preserve">Имајући у виду да </w:t>
      </w:r>
      <w:r>
        <w:rPr>
          <w:rFonts w:ascii="Verdana" w:eastAsia="Verdana" w:hAnsi="Verdana" w:cs="Verdana"/>
        </w:rPr>
        <w:t>Предлог акционог плана за период 2024–2025. године није благовремено усвојен, као и да је у међувремену констатовано да поједини показатељи дефинисани у оквиру Стратегије нису реално оствариви нити мерљиви, надлежни предлагач је приступио измени и допуни п</w:t>
      </w:r>
      <w:r>
        <w:rPr>
          <w:rFonts w:ascii="Verdana" w:eastAsia="Verdana" w:hAnsi="Verdana" w:cs="Verdana"/>
        </w:rPr>
        <w:t xml:space="preserve">оказатеља, као и мањим изменама и допунама активности у односу на оне које су биле разматране у 2024. </w:t>
      </w:r>
      <w:proofErr w:type="gramStart"/>
      <w:r>
        <w:rPr>
          <w:rFonts w:ascii="Verdana" w:eastAsia="Verdana" w:hAnsi="Verdana" w:cs="Verdana"/>
        </w:rPr>
        <w:t>години</w:t>
      </w:r>
      <w:proofErr w:type="gramEnd"/>
      <w:r>
        <w:rPr>
          <w:rFonts w:ascii="Verdana" w:eastAsia="Verdana" w:hAnsi="Verdana" w:cs="Verdana"/>
        </w:rPr>
        <w:t>. Наведене измене извршене су у циљу методолошког усклађивања документа, као и усклађивања са препорукама Европске комисије против расизма и нетолер</w:t>
      </w:r>
      <w:r>
        <w:rPr>
          <w:rFonts w:ascii="Verdana" w:eastAsia="Verdana" w:hAnsi="Verdana" w:cs="Verdana"/>
        </w:rPr>
        <w:t>анције Савета Европе (ECRI).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С обзиром на то да су циљеви, мере и носиоци мера и активности остали непромењени, надлежни предлагач је оценио да није неопходно поновно образовање радне групе. Међуресорна сарадња обезбеђена је у складу са Пословником Владе, </w:t>
      </w:r>
      <w:r>
        <w:rPr>
          <w:rFonts w:ascii="Verdana" w:eastAsia="Verdana" w:hAnsi="Verdana" w:cs="Verdana"/>
        </w:rPr>
        <w:t>кроз прибављање мишљења надлежних институција.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Акциони план одражава посвећеност Републике Србије приступању Европској унији и испуњавању обавеза у оквиру Преговарачких поглавља 23.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19. Он пружа практичан план активности за унапређење антидискриминациони</w:t>
      </w:r>
      <w:r>
        <w:rPr>
          <w:rFonts w:ascii="Verdana" w:eastAsia="Verdana" w:hAnsi="Verdana" w:cs="Verdana"/>
        </w:rPr>
        <w:t>х мера, промоцију различитости и јачање заштите људских права. Добро осмишљен и ефикасан акциони план значајно ће допринети сузбијању системске дискриминације на транспарентан, мерљив и одржив начин.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НАПОМЕНА: У време усвајања Стратегије, као и првог и дру</w:t>
      </w:r>
      <w:r>
        <w:rPr>
          <w:rFonts w:ascii="Verdana" w:eastAsia="Verdana" w:hAnsi="Verdana" w:cs="Verdana"/>
        </w:rPr>
        <w:t>гог акционог плана за њено спровођење, област превенције и заштите од дискриминације је у надлежности Министарства за људска и мањинска права и друштвени дијалог. У случају промене надлежности након доношења новог Закона о министарствима, све обавезе Минис</w:t>
      </w:r>
      <w:r>
        <w:rPr>
          <w:rFonts w:ascii="Verdana" w:eastAsia="Verdana" w:hAnsi="Verdana" w:cs="Verdana"/>
        </w:rPr>
        <w:t>тарства за људска и мањинска права и друштвени дијалог у погледу овог акционог плана преузеће орган у чијој надлежности буде област превенције и заштите од дискриминације.</w:t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>II. КРАТАК ПРЕГЛЕД РЕЗУЛТАТА ОСТВАРЕНИХ ЗА ПЕРИОД ВАЖЕЊА ПРЕТХОДНОГ АКЦИОНОГ ПЛАНА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У</w:t>
      </w:r>
      <w:r>
        <w:rPr>
          <w:rFonts w:ascii="Verdana" w:eastAsia="Verdana" w:hAnsi="Verdana" w:cs="Verdana"/>
        </w:rPr>
        <w:t xml:space="preserve"> наставку текста дат је преглед општег циља, посебних циљева и мера утврђених Стратегијом, као и резултати примене Акционог плана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. У поглављу V. Табела Акционог плана, приказани су: општи циљ и посебни циљеви и мере са показатељ</w:t>
      </w:r>
      <w:r>
        <w:rPr>
          <w:rFonts w:ascii="Verdana" w:eastAsia="Verdana" w:hAnsi="Verdana" w:cs="Verdana"/>
        </w:rPr>
        <w:t xml:space="preserve">има; институције одговорне за реализацију мера; извори финансирања мера, као и активности за реализацију сваке мере, са одређеним носиоцима и партнерима у реализацији, роковима и изворима финансирања, за период 2026–2027.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Општи стратешки циљ: Изјед</w:t>
      </w:r>
      <w:r>
        <w:rPr>
          <w:rFonts w:ascii="Verdana" w:eastAsia="Verdana" w:hAnsi="Verdana" w:cs="Verdana"/>
          <w:b/>
        </w:rPr>
        <w:t>начене могућности за припаднике група које су у ризику од дискриминације да на равноправној основи са другима уживају сва људска права и слободе, као и унапређена ефикасност система превенције и заштите од дискриминације у свим областима и на свим нивоима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Посебан циљ 1: Усклађено национално законодавство са међународним антидискриминационим стандардима и праксом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Посебан циљ 2: Системски уведена антидискриминациона перспектива у креирање, спровођење и праћење јавних политика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lastRenderedPageBreak/>
        <w:t>Посебан циљ 3: Унапређена равнопр</w:t>
      </w:r>
      <w:r>
        <w:rPr>
          <w:rFonts w:ascii="Verdana" w:eastAsia="Verdana" w:hAnsi="Verdana" w:cs="Verdana"/>
        </w:rPr>
        <w:t>авност и већа друштвена укљученост припадника и припадница група које су у повећаном ризику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Посебан циљ 4: Унапређен систем превенције и заштите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Мере за остваривање посебних циљева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Ради достизања општег и посебних циљева Стратегије, реализоваће се следеће мере: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Посебан циљ 1: Усклађено национално законодавство са међународним антидискриминационим стандардима и праксом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Мере за остваривање посебног циља 1: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1.1: Усклађен антидискри</w:t>
      </w:r>
      <w:r>
        <w:rPr>
          <w:rFonts w:ascii="Verdana" w:eastAsia="Verdana" w:hAnsi="Verdana" w:cs="Verdana"/>
        </w:rPr>
        <w:t>минациони правни оквир са међународним антидискриминационим стандардима и праксом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1.2: Усклађени секторски закони и подзаконски акти са антидискриминационим правним оквиром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Посебан циљ 2: Системски уведена антидискриминациона перспектива у креирање, с</w:t>
      </w:r>
      <w:r>
        <w:rPr>
          <w:rFonts w:ascii="Verdana" w:eastAsia="Verdana" w:hAnsi="Verdana" w:cs="Verdana"/>
          <w:b/>
        </w:rPr>
        <w:t>провођење и праћење јавних политика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Мере за остваривање посебног циља 2: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2.1: Укључена антидискриминациона перспектива у све јавне политике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2.2: Унапређено прикупљање, евидентирање и доступност података разврстаних по личним својствима припадника</w:t>
      </w:r>
      <w:r>
        <w:rPr>
          <w:rFonts w:ascii="Verdana" w:eastAsia="Verdana" w:hAnsi="Verdana" w:cs="Verdana"/>
        </w:rPr>
        <w:t xml:space="preserve"> група које су у ризику од дискриминације (пол, старосно доба, национална припадност, инвалидитет и сл.)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2.3: Унапређени механизми сарадње са организацијама цивилног друштва које се баве промоцијом и заштитом права група које су у ризику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Посебан циљ 3: Унапређена равноправност и већа друштвена укљученост припадника и припадница група ко</w:t>
      </w:r>
      <w:r>
        <w:rPr>
          <w:rFonts w:ascii="Verdana" w:eastAsia="Verdana" w:hAnsi="Verdana" w:cs="Verdana"/>
          <w:b/>
        </w:rPr>
        <w:t>је су у повећаном ризику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Мере за остваривање посебног циља 3: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Мера 3.1: Смањени стереотипи и предрасуде према припадницима и припадницама група које су у ризику од дискриминације и испромовисана позитивна слика у јавности о овим групама, </w:t>
      </w:r>
      <w:r>
        <w:rPr>
          <w:rFonts w:ascii="Verdana" w:eastAsia="Verdana" w:hAnsi="Verdana" w:cs="Verdana"/>
        </w:rPr>
        <w:t>чиме је извршен утицај на промену друштвених схватања и вредности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3.2: Повећана заступљеност припадника и припадница група које су у ризику од дискриминације у областима у којима они нису заступљени у довољној мери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3.3: Унапређена социјална инклу</w:t>
      </w:r>
      <w:r>
        <w:rPr>
          <w:rFonts w:ascii="Verdana" w:eastAsia="Verdana" w:hAnsi="Verdana" w:cs="Verdana"/>
        </w:rPr>
        <w:t>зија припадника и припадница група које су у ризику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b/>
        </w:rPr>
        <w:t>Посебан циљ 4: Унапређен систем превенције и заштите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lastRenderedPageBreak/>
        <w:t>Мере за остваривање посебног циља 4: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4.1: Унапређени судски механизми заштите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4.2: Ојач</w:t>
      </w:r>
      <w:r>
        <w:rPr>
          <w:rFonts w:ascii="Verdana" w:eastAsia="Verdana" w:hAnsi="Verdana" w:cs="Verdana"/>
        </w:rPr>
        <w:t>ан капацитет Повереника за заштиту равноправности и повећана видљивост институције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4.3: Унапређени други механизми за превенцију и заштиту од 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4.4: Унапређени механизам за сузбијање и спречавање говора мржње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Мера 4.5: Изграђени капа</w:t>
      </w:r>
      <w:r>
        <w:rPr>
          <w:rFonts w:ascii="Verdana" w:eastAsia="Verdana" w:hAnsi="Verdana" w:cs="Verdana"/>
        </w:rPr>
        <w:t>цитети и унапређено знање и вештине у области равноправности и недискриминације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На основу сагледавања реализације планираних активности и анализе примене Акционог плана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може се закључити да општи циљ Стратегије није остварен то</w:t>
      </w:r>
      <w:r>
        <w:rPr>
          <w:rFonts w:ascii="Verdana" w:eastAsia="Verdana" w:hAnsi="Verdana" w:cs="Verdana"/>
        </w:rPr>
        <w:t xml:space="preserve">ком периода примене овог акционог плана, нити се то могло очекивати, с обзиром на то да је Стратегија усвојена за период до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те ће оствареност општег циља моћи да се сагледа тек по истеку периода важења Стратегије. Анализа је показала да нијед</w:t>
      </w:r>
      <w:r>
        <w:rPr>
          <w:rFonts w:ascii="Verdana" w:eastAsia="Verdana" w:hAnsi="Verdana" w:cs="Verdana"/>
        </w:rPr>
        <w:t>ан посебан циљ није у потпуности остварен. По питању мера за остваривање посебних циљева, четири мере су делимично остварене (2.1, 2.3, 3.1. и 4.5), док остале нису остварене.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По питању релевантности, може се закључити да су изазови и тешкоће који су навед</w:t>
      </w:r>
      <w:r>
        <w:rPr>
          <w:rFonts w:ascii="Verdana" w:eastAsia="Verdana" w:hAnsi="Verdana" w:cs="Verdana"/>
        </w:rPr>
        <w:t xml:space="preserve">ени у Извештају о спровођењу Стратегије за период 2022–2024.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у одређеној мери адекватно таргетирани кроз реализоване активности. Међутим, многе активности нису реализоване услед недостатка средстава и капацитета за њихову реализацију. Из тог разлога</w:t>
      </w:r>
      <w:r>
        <w:rPr>
          <w:rFonts w:ascii="Verdana" w:eastAsia="Verdana" w:hAnsi="Verdana" w:cs="Verdana"/>
        </w:rPr>
        <w:t xml:space="preserve">, рок за реализацију дела активности из Акционог плана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померен је тако да су неке од њих планиране и у Акционом плану за период од 2026.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. Поред тога, у оквиру Акционог плана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уведене су и н</w:t>
      </w:r>
      <w:r>
        <w:rPr>
          <w:rFonts w:ascii="Verdana" w:eastAsia="Verdana" w:hAnsi="Verdana" w:cs="Verdana"/>
        </w:rPr>
        <w:t>ове активности.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Услед неадекватног дефинисања показатеља у процесу израде Стратегије, њихово мерење је било отежано, а често и немогуће, посебно у вези са показатељима општег и посебних циљева. У већини случајева се показало да нико од учесника у планском </w:t>
      </w:r>
      <w:r>
        <w:rPr>
          <w:rFonts w:ascii="Verdana" w:eastAsia="Verdana" w:hAnsi="Verdana" w:cs="Verdana"/>
        </w:rPr>
        <w:t xml:space="preserve">систему не води тражену врсту евиденција, јер за то претходно нису створени предуслови. Ово потврђује и одговор Републичког завода за статистику на захтев Министарства за људска и мањинска права и друштвени дијалог од 27. </w:t>
      </w:r>
      <w:proofErr w:type="gramStart"/>
      <w:r>
        <w:rPr>
          <w:rFonts w:ascii="Verdana" w:eastAsia="Verdana" w:hAnsi="Verdana" w:cs="Verdana"/>
        </w:rPr>
        <w:t>новембра</w:t>
      </w:r>
      <w:proofErr w:type="gramEnd"/>
      <w:r>
        <w:rPr>
          <w:rFonts w:ascii="Verdana" w:eastAsia="Verdana" w:hAnsi="Verdana" w:cs="Verdana"/>
        </w:rPr>
        <w:t xml:space="preserve"> 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број 021-14</w:t>
      </w:r>
      <w:r>
        <w:rPr>
          <w:rFonts w:ascii="Verdana" w:eastAsia="Verdana" w:hAnsi="Verdana" w:cs="Verdana"/>
        </w:rPr>
        <w:t xml:space="preserve">19/1, у којем се наводи да је у складу са утврђеним Програмом званичне статистике за период 2021–2025.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Републички завод за статистику спроводио поједина истраживања, којима се производе неки од показатеља наведених у захтеву поменутог министарства.</w:t>
      </w:r>
      <w:r>
        <w:rPr>
          <w:rFonts w:ascii="Verdana" w:eastAsia="Verdana" w:hAnsi="Verdana" w:cs="Verdana"/>
        </w:rPr>
        <w:t xml:space="preserve"> Међутим, такође је наведено да за значајан део тражених показатеља Републички завод за статистику не располаже подацима.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Искуства из спровођења Акционог плана за период 2022–2023.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указују на одређена ограничења у погледу доступности података о фина</w:t>
      </w:r>
      <w:r>
        <w:rPr>
          <w:rFonts w:ascii="Verdana" w:eastAsia="Verdana" w:hAnsi="Verdana" w:cs="Verdana"/>
        </w:rPr>
        <w:t xml:space="preserve">нсијској реализацији и праћењу ефеката планираних мера. Наведеним акционим планом било је предвиђено да се за 2022.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обезбеде средства у укупном износу од 8.536.000,00 динара, док је за 2023.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планиран износ од 11.574.000,00 динара, у складу са</w:t>
      </w:r>
      <w:r>
        <w:rPr>
          <w:rFonts w:ascii="Verdana" w:eastAsia="Verdana" w:hAnsi="Verdana" w:cs="Verdana"/>
        </w:rPr>
        <w:t xml:space="preserve"> буџетским </w:t>
      </w:r>
      <w:r>
        <w:rPr>
          <w:rFonts w:ascii="Verdana" w:eastAsia="Verdana" w:hAnsi="Verdana" w:cs="Verdana"/>
        </w:rPr>
        <w:lastRenderedPageBreak/>
        <w:t>могућностима Републике Србије, што укупно за период његовог важења износи 20.110.000,00 динара. Међутим, расположиви подаци не омогућавају јасно сагледавање обима и структуре утрошених средстава по појединачним активностима. Разлог за наведено л</w:t>
      </w:r>
      <w:r>
        <w:rPr>
          <w:rFonts w:ascii="Verdana" w:eastAsia="Verdana" w:hAnsi="Verdana" w:cs="Verdana"/>
        </w:rPr>
        <w:t>ежи, између осталог, у начину планирања и евидентирања буџетских, а посебно донаторских средстава, која се према актима о суфинансирању реализације појединих активности са донаторима извршавају директно, без чина планирања и извршавања ових расхода кроз од</w:t>
      </w:r>
      <w:r>
        <w:rPr>
          <w:rFonts w:ascii="Verdana" w:eastAsia="Verdana" w:hAnsi="Verdana" w:cs="Verdana"/>
        </w:rPr>
        <w:t>говарајући извор финансирања у финансијском плану носиоца активности. Конкретно, овај детаљ финансирања у пракси додатно отежава прецизно повезивање утрошених средстава са конкретним активностима и резултатима у области превенције и заштите од дискриминаци</w:t>
      </w:r>
      <w:r>
        <w:rPr>
          <w:rFonts w:ascii="Verdana" w:eastAsia="Verdana" w:hAnsi="Verdana" w:cs="Verdana"/>
        </w:rPr>
        <w:t xml:space="preserve">је. Имајући у виду период важења Стратегије превенције и заштите од дискриминације конципирана до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као и да су предвиђене мере по својој природи структурне и системске, оправдано је очекивање да се пуни ефекти интервенција остварују постепено </w:t>
      </w:r>
      <w:r>
        <w:rPr>
          <w:rFonts w:ascii="Verdana" w:eastAsia="Verdana" w:hAnsi="Verdana" w:cs="Verdana"/>
        </w:rPr>
        <w:t xml:space="preserve">и у дужем временском периоду. У том смислу, Акциони план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представља прилику за даље унапређење планирања, финансијског праћења и извештавања, како би се обезбедили јаснији увиди у реализацију активности и њихове ефекте, уз пуно пошт</w:t>
      </w:r>
      <w:r>
        <w:rPr>
          <w:rFonts w:ascii="Verdana" w:eastAsia="Verdana" w:hAnsi="Verdana" w:cs="Verdana"/>
        </w:rPr>
        <w:t>овање континуитета јавне политике у овој области.</w:t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>III. ПРОЦЕНА УКУПНО ПОТРЕБНИХ ФИНАНСИЈСКИХ СРЕДСТАВА ЗА СПРОВОЂЕЊЕ АКЦИОНОГ ПЛАНА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Овим акционим планом утврђено је да се општи циљ остварује кроз четири посебна циља, чија ће се реализација спроводити посре</w:t>
      </w:r>
      <w:r>
        <w:rPr>
          <w:rFonts w:ascii="Verdana" w:eastAsia="Verdana" w:hAnsi="Verdana" w:cs="Verdana"/>
        </w:rPr>
        <w:t xml:space="preserve">дством низа мера, које обухватају појединачне активности планиране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>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Сва средства неопходна за реализацију активности на терет буџета Републике Србије приказана у Предлогу акционог плана у 2026. </w:t>
      </w:r>
      <w:proofErr w:type="gramStart"/>
      <w:r>
        <w:rPr>
          <w:rFonts w:ascii="Verdana" w:eastAsia="Verdana" w:hAnsi="Verdana" w:cs="Verdana"/>
        </w:rPr>
        <w:t>години</w:t>
      </w:r>
      <w:proofErr w:type="gramEnd"/>
      <w:r>
        <w:rPr>
          <w:rFonts w:ascii="Verdana" w:eastAsia="Verdana" w:hAnsi="Verdana" w:cs="Verdana"/>
        </w:rPr>
        <w:t xml:space="preserve"> обезбеђена су Законом о буџету Републике Србије за 2026.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(„Службени гласник РС”, број 108/25), а у 2027. </w:t>
      </w:r>
      <w:proofErr w:type="gramStart"/>
      <w:r>
        <w:rPr>
          <w:rFonts w:ascii="Verdana" w:eastAsia="Verdana" w:hAnsi="Verdana" w:cs="Verdana"/>
        </w:rPr>
        <w:t>години</w:t>
      </w:r>
      <w:proofErr w:type="gramEnd"/>
      <w:r>
        <w:rPr>
          <w:rFonts w:ascii="Verdana" w:eastAsia="Verdana" w:hAnsi="Verdana" w:cs="Verdana"/>
        </w:rPr>
        <w:t xml:space="preserve"> ће с</w:t>
      </w:r>
      <w:r>
        <w:rPr>
          <w:rFonts w:ascii="Verdana" w:eastAsia="Verdana" w:hAnsi="Verdana" w:cs="Verdana"/>
        </w:rPr>
        <w:t xml:space="preserve">е планирати у складу са лимитима, које одреди Министарство финанисија за све буџетске кориснике, а у оквиру наведених раздела и одговарајућих програма у оквиру којих се планирају и средства за реализацију активности приказаних у овом акционом плану. У том </w:t>
      </w:r>
      <w:r>
        <w:rPr>
          <w:rFonts w:ascii="Verdana" w:eastAsia="Verdana" w:hAnsi="Verdana" w:cs="Verdana"/>
        </w:rPr>
        <w:t>смислу, за финансирање овог акционог плана није потребно обезбеђење додатних средстава из буџета Републике Србије.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Процена финансијских средстава неопходних за спровођење посебних циљева, мера и активности извршена је од стране предлагача овог акционог пла</w:t>
      </w:r>
      <w:r>
        <w:rPr>
          <w:rFonts w:ascii="Verdana" w:eastAsia="Verdana" w:hAnsi="Verdana" w:cs="Verdana"/>
        </w:rPr>
        <w:t>на, као и од стране носилаца појединачних активности. С тим у вези, сви надлежни буџетски корисници – органи и организације – извршили су оквирну процену трошкова свих потребних ресурса за реализацију планираних активности. Процењени финансијски ефекти иск</w:t>
      </w:r>
      <w:r>
        <w:rPr>
          <w:rFonts w:ascii="Verdana" w:eastAsia="Verdana" w:hAnsi="Verdana" w:cs="Verdana"/>
        </w:rPr>
        <w:t>азани су у Обрасцу ПФЕ – Обрасцу стандардне методологије за процену финансијских ефеката акта, у складу са Правилником о начину исказивања и извештавања о процењеним финансијским ефектима закона, другог прописа или другог акта на буџет, односно финансијске</w:t>
      </w:r>
      <w:r>
        <w:rPr>
          <w:rFonts w:ascii="Verdana" w:eastAsia="Verdana" w:hAnsi="Verdana" w:cs="Verdana"/>
        </w:rPr>
        <w:t xml:space="preserve"> планове организација за обавезно социјално осигурање („Службени гласник РС”, број 119/23). Приликом обрачуна потребних ресурса за спровођење акционог плана придржавана су правила прописана Приручником за утврђивање трошкова јавних политика и прописа (РСЈП</w:t>
      </w:r>
      <w:r>
        <w:rPr>
          <w:rFonts w:ascii="Verdana" w:eastAsia="Verdana" w:hAnsi="Verdana" w:cs="Verdana"/>
        </w:rPr>
        <w:t>, август 2025. године).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lastRenderedPageBreak/>
        <w:t xml:space="preserve">За поједине активности предвиђено је финансирање из средстава донатора – пројектна средства. С тим у вези, а у складу са одредбама члан </w:t>
      </w:r>
      <w:proofErr w:type="gramStart"/>
      <w:r>
        <w:rPr>
          <w:rFonts w:ascii="Verdana" w:eastAsia="Verdana" w:hAnsi="Verdana" w:cs="Verdana"/>
        </w:rPr>
        <w:t>22.,</w:t>
      </w:r>
      <w:proofErr w:type="gramEnd"/>
      <w:r>
        <w:rPr>
          <w:rFonts w:ascii="Verdana" w:eastAsia="Verdana" w:hAnsi="Verdana" w:cs="Verdana"/>
        </w:rPr>
        <w:t xml:space="preserve"> став 1. </w:t>
      </w:r>
      <w:proofErr w:type="gramStart"/>
      <w:r>
        <w:rPr>
          <w:rFonts w:ascii="Verdana" w:eastAsia="Verdana" w:hAnsi="Verdana" w:cs="Verdana"/>
        </w:rPr>
        <w:t>тачка</w:t>
      </w:r>
      <w:proofErr w:type="gramEnd"/>
      <w:r>
        <w:rPr>
          <w:rFonts w:ascii="Verdana" w:eastAsia="Verdana" w:hAnsi="Verdana" w:cs="Verdana"/>
        </w:rPr>
        <w:t xml:space="preserve"> 3. </w:t>
      </w:r>
      <w:proofErr w:type="gramStart"/>
      <w:r>
        <w:rPr>
          <w:rFonts w:ascii="Verdana" w:eastAsia="Verdana" w:hAnsi="Verdana" w:cs="Verdana"/>
        </w:rPr>
        <w:t>подтачка</w:t>
      </w:r>
      <w:proofErr w:type="gramEnd"/>
      <w:r>
        <w:rPr>
          <w:rFonts w:ascii="Verdana" w:eastAsia="Verdana" w:hAnsi="Verdana" w:cs="Verdana"/>
        </w:rPr>
        <w:t xml:space="preserve"> (5) Уредбе о методологији израде докумената јавних политика („Слу</w:t>
      </w:r>
      <w:r>
        <w:rPr>
          <w:rFonts w:ascii="Verdana" w:eastAsia="Verdana" w:hAnsi="Verdana" w:cs="Verdana"/>
        </w:rPr>
        <w:t xml:space="preserve">жбени гласник РС”, брoj 20/25), констатује се да реализација мера и активности зависи од могућности уговарања донаторских средстава у току реализације акционог плана. </w:t>
      </w:r>
      <w:proofErr w:type="gramStart"/>
      <w:r>
        <w:rPr>
          <w:rFonts w:ascii="Verdana" w:eastAsia="Verdana" w:hAnsi="Verdana" w:cs="Verdana"/>
        </w:rPr>
        <w:t>Донаторски пројекти нису обухваћени програмским буџетом, у складу са Уредбом. У свим акти</w:t>
      </w:r>
      <w:r>
        <w:rPr>
          <w:rFonts w:ascii="Verdana" w:eastAsia="Verdana" w:hAnsi="Verdana" w:cs="Verdana"/>
        </w:rPr>
        <w:t>вностима у којима је наведено да су у оквиру програма, који се реализују кроз средства обезбеђена у буџету, ради се о редовном раду државних службеника и намештеника у оквиру својих прописаних активности, било да се ради о њиховом учешћу у радним групама и</w:t>
      </w:r>
      <w:r>
        <w:rPr>
          <w:rFonts w:ascii="Verdana" w:eastAsia="Verdana" w:hAnsi="Verdana" w:cs="Verdana"/>
        </w:rPr>
        <w:t>ли о појединачном раду на праћењу спровођења прописа или изради одређених анализа, извештаја, прикупљању података и слично и не захтевају посебно буџетирање.</w:t>
      </w:r>
      <w:proofErr w:type="gramEnd"/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За спровођење Акционог плана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>, буџетска средства се обезбеђују у укупном из</w:t>
      </w:r>
      <w:r>
        <w:rPr>
          <w:rFonts w:ascii="Verdana" w:eastAsia="Verdana" w:hAnsi="Verdana" w:cs="Verdana"/>
        </w:rPr>
        <w:t xml:space="preserve">носу од 61.650.000,00 динара, од чега у 2026. </w:t>
      </w:r>
      <w:proofErr w:type="gramStart"/>
      <w:r>
        <w:rPr>
          <w:rFonts w:ascii="Verdana" w:eastAsia="Verdana" w:hAnsi="Verdana" w:cs="Verdana"/>
        </w:rPr>
        <w:t>години</w:t>
      </w:r>
      <w:proofErr w:type="gramEnd"/>
      <w:r>
        <w:rPr>
          <w:rFonts w:ascii="Verdana" w:eastAsia="Verdana" w:hAnsi="Verdana" w:cs="Verdana"/>
        </w:rPr>
        <w:t xml:space="preserve"> из средстава буџета Републике Србије обезбеђује се износ од 30.890.000,00 динара, а у 2027. </w:t>
      </w:r>
      <w:proofErr w:type="gramStart"/>
      <w:r>
        <w:rPr>
          <w:rFonts w:ascii="Verdana" w:eastAsia="Verdana" w:hAnsi="Verdana" w:cs="Verdana"/>
        </w:rPr>
        <w:t>години</w:t>
      </w:r>
      <w:proofErr w:type="gramEnd"/>
      <w:r>
        <w:rPr>
          <w:rFonts w:ascii="Verdana" w:eastAsia="Verdana" w:hAnsi="Verdana" w:cs="Verdana"/>
        </w:rPr>
        <w:t xml:space="preserve"> ће се планирати реализација у вредности од 30.760.000,00 динара, а све у складу са билансним могућностим</w:t>
      </w:r>
      <w:r>
        <w:rPr>
          <w:rFonts w:ascii="Verdana" w:eastAsia="Verdana" w:hAnsi="Verdana" w:cs="Verdana"/>
        </w:rPr>
        <w:t>а буџета Републике Србије. Реализација планираних активности по мерама у оквирима Посебног циља бр. 1. Усклађено национално законодавство са међународним антидискриминационим стандардима и праксом врши се без буџетских средстава, по Посебном циљу бр. 2. Си</w:t>
      </w:r>
      <w:r>
        <w:rPr>
          <w:rFonts w:ascii="Verdana" w:eastAsia="Verdana" w:hAnsi="Verdana" w:cs="Verdana"/>
        </w:rPr>
        <w:t>стемски уведена антидискриминациона перспектива у креирање, спровођење и праћење јавних политика обезбеђују се буџетска средства у вредности од 390 хиљада динара, по Посебном циљу бр. 3. Унапређена равноправност и већа друштвена укљученост припадника и при</w:t>
      </w:r>
      <w:r>
        <w:rPr>
          <w:rFonts w:ascii="Verdana" w:eastAsia="Verdana" w:hAnsi="Verdana" w:cs="Verdana"/>
        </w:rPr>
        <w:t>падница група које су у повећаном ризику од дискриминације вредност планираних буџетских средстава износи 61.130.000</w:t>
      </w:r>
      <w:proofErr w:type="gramStart"/>
      <w:r>
        <w:rPr>
          <w:rFonts w:ascii="Verdana" w:eastAsia="Verdana" w:hAnsi="Verdana" w:cs="Verdana"/>
        </w:rPr>
        <w:t>,00</w:t>
      </w:r>
      <w:proofErr w:type="gramEnd"/>
      <w:r>
        <w:rPr>
          <w:rFonts w:ascii="Verdana" w:eastAsia="Verdana" w:hAnsi="Verdana" w:cs="Verdana"/>
        </w:rPr>
        <w:t xml:space="preserve"> динара и по Посебном циљу бр. 4. Унапређен систем превенције и заштите од дискриминације планирана су средства из буџетских извора у вре</w:t>
      </w:r>
      <w:r>
        <w:rPr>
          <w:rFonts w:ascii="Verdana" w:eastAsia="Verdana" w:hAnsi="Verdana" w:cs="Verdana"/>
        </w:rPr>
        <w:t>дности од 130.000,00 динара. Планиране вредности средстава из буџетских извора за реализацију појединачних мера су: Мера 1.1. Усклађен антидискриминациони правни оквир са међународним антидискриминационим стандардима и праксом – без средстава, Мера 1.2. Ус</w:t>
      </w:r>
      <w:r>
        <w:rPr>
          <w:rFonts w:ascii="Verdana" w:eastAsia="Verdana" w:hAnsi="Verdana" w:cs="Verdana"/>
        </w:rPr>
        <w:t>клађени секторски закони и подзаконски акти са антидискриминационим правним оквиром – без средстава, Мера 2.1. Укључена антидискриминациона перспектива у све јавне политике – 130.000,00 динара, Мера 2.2. Унапређено прикупљање, евидентирање и доступност под</w:t>
      </w:r>
      <w:r>
        <w:rPr>
          <w:rFonts w:ascii="Verdana" w:eastAsia="Verdana" w:hAnsi="Verdana" w:cs="Verdana"/>
        </w:rPr>
        <w:t>атака разврстаних по личним својствима припадника група које су у ризику од дискриминације (пол, старосно доба, национална припадност, инвалидитет и сл.) – 260.000,00 динара, Мера 2.3. Унапређени механизми сарадње са организацијама цивилног друштва које се</w:t>
      </w:r>
      <w:r>
        <w:rPr>
          <w:rFonts w:ascii="Verdana" w:eastAsia="Verdana" w:hAnsi="Verdana" w:cs="Verdana"/>
        </w:rPr>
        <w:t xml:space="preserve"> баве промоцијом и заштитом права група које су у ризику од дискриминације – без средстава, Мера 3.1. </w:t>
      </w:r>
      <w:proofErr w:type="gramStart"/>
      <w:r>
        <w:rPr>
          <w:rFonts w:ascii="Verdana" w:eastAsia="Verdana" w:hAnsi="Verdana" w:cs="Verdana"/>
        </w:rPr>
        <w:t>Смањени стереотипи и предрасуде према припадницима и припадницама група које су у ризику од дискриминације и испромовисана позитивна слика у јавности о ов</w:t>
      </w:r>
      <w:r>
        <w:rPr>
          <w:rFonts w:ascii="Verdana" w:eastAsia="Verdana" w:hAnsi="Verdana" w:cs="Verdana"/>
        </w:rPr>
        <w:t xml:space="preserve">им групама, чиме је извршен утицај на промену друштвених схватања и вредности – 61.000.000,00 динара, Мера 3.2: Повећана заступљеност припадника и припадница група које су у ризику од дискриминације у областима у којима они нису заступљени у довољној мери </w:t>
      </w:r>
      <w:r>
        <w:rPr>
          <w:rFonts w:ascii="Verdana" w:eastAsia="Verdana" w:hAnsi="Verdana" w:cs="Verdana"/>
        </w:rPr>
        <w:t>– 130.000,00 динара, Мера 3.3.</w:t>
      </w:r>
      <w:proofErr w:type="gramEnd"/>
      <w:r>
        <w:rPr>
          <w:rFonts w:ascii="Verdana" w:eastAsia="Verdana" w:hAnsi="Verdana" w:cs="Verdana"/>
        </w:rPr>
        <w:t xml:space="preserve"> Унапређена социјална инклузија припадника и припадница група које су у ризику од дискриминације – без средстава, Мера 4.1. Унапређени судски механизми </w:t>
      </w:r>
      <w:r>
        <w:rPr>
          <w:rFonts w:ascii="Verdana" w:eastAsia="Verdana" w:hAnsi="Verdana" w:cs="Verdana"/>
        </w:rPr>
        <w:lastRenderedPageBreak/>
        <w:t>заштите од дискриминације – без средстава, Мера 4.2. Ојачан капацитет Пове</w:t>
      </w:r>
      <w:r>
        <w:rPr>
          <w:rFonts w:ascii="Verdana" w:eastAsia="Verdana" w:hAnsi="Verdana" w:cs="Verdana"/>
        </w:rPr>
        <w:t>реника за заштиту равноправности и повећана видљивост институције – без средстава, Мера 4.3. Унапређени други механизми за превенцију и заштиту од дискриминације – без средстава, Мера 4.4. Унапређени механизам за сузбијање и спречавање говора мржње – 130.0</w:t>
      </w:r>
      <w:r>
        <w:rPr>
          <w:rFonts w:ascii="Verdana" w:eastAsia="Verdana" w:hAnsi="Verdana" w:cs="Verdana"/>
        </w:rPr>
        <w:t>00,00 динара, Мера 4.5. Изграђени капацитети и унапређено знање и вештине у области равноправности и недискриминације – без средстава.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Имплементација мера предвиђених овим акционим планом неће имати утицаја на међународне финансијске обавезе државе, зато ш</w:t>
      </w:r>
      <w:r>
        <w:rPr>
          <w:rFonts w:ascii="Verdana" w:eastAsia="Verdana" w:hAnsi="Verdana" w:cs="Verdana"/>
        </w:rPr>
        <w:t>то никакво задуживање није планирано. Опредељена средства по мерама исказана су у поглављу V. Табела акционог плана.</w:t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 xml:space="preserve">IV. ИНФОРМАЦИЈА О СПРОВЕДЕНИМ </w:t>
      </w:r>
      <w:r>
        <w:rPr>
          <w:rFonts w:ascii="Verdana" w:eastAsia="Verdana" w:hAnsi="Verdana" w:cs="Verdana"/>
        </w:rPr>
        <w:br/>
        <w:t>КОНСУЛТАЦИЈАМА</w:t>
      </w:r>
    </w:p>
    <w:p w:rsidR="002A2F00" w:rsidRDefault="00683382">
      <w:pPr>
        <w:spacing w:line="210" w:lineRule="atLeast"/>
      </w:pPr>
      <w:proofErr w:type="gramStart"/>
      <w:r>
        <w:rPr>
          <w:rFonts w:ascii="Verdana" w:eastAsia="Verdana" w:hAnsi="Verdana" w:cs="Verdana"/>
        </w:rPr>
        <w:t xml:space="preserve">У складу са Законом о планском систему Републике Србије („Службени гласник РС”, број 30/18), </w:t>
      </w:r>
      <w:r>
        <w:rPr>
          <w:rFonts w:ascii="Verdana" w:eastAsia="Verdana" w:hAnsi="Verdana" w:cs="Verdana"/>
        </w:rPr>
        <w:t>Уредбом о методологији израде докумената јавних политика („Службени гласник РС”, број 20/25), и Правилником о смерницима добре праксе за остваривање учешћа јавности у припреми нацрта закона и других прописа и аката („Службени гласник РС”, број 51/19), Мини</w:t>
      </w:r>
      <w:r>
        <w:rPr>
          <w:rFonts w:ascii="Verdana" w:eastAsia="Verdana" w:hAnsi="Verdana" w:cs="Verdana"/>
        </w:rPr>
        <w:t>старство за људска и мањинска права и друштвени дијалог, као надлежни предлагач, спровело је консултације у процесу израде Предлога акционог плана за 2026.</w:t>
      </w:r>
      <w:proofErr w:type="gramEnd"/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за спровођење Стратегије превенције и заштите од дискриминације за период од 2022.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Процес израде Предлога акционог плана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представља наставак и ревизију раније започетог процеса израде Предлога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који није усвојен. Резултати спроведених консултација, јавне ра</w:t>
      </w:r>
      <w:r>
        <w:rPr>
          <w:rFonts w:ascii="Verdana" w:eastAsia="Verdana" w:hAnsi="Verdana" w:cs="Verdana"/>
        </w:rPr>
        <w:t>справе и прибављених мишљења надлежних институција у оквиру тог процеса представљали су полазну основу за даље обликовање документа, уз усклађивање садржаја са методолошким примедбама Републичког секретаријата за јавне политике, посебно у делу показатеља и</w:t>
      </w:r>
      <w:r>
        <w:rPr>
          <w:rFonts w:ascii="Verdana" w:eastAsia="Verdana" w:hAnsi="Verdana" w:cs="Verdana"/>
        </w:rPr>
        <w:t xml:space="preserve"> базних вредности.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У оквиру консултација о Предлогу акционог плана за период 2024–2025.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, у периоду од 15.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23. </w:t>
      </w:r>
      <w:proofErr w:type="gramStart"/>
      <w:r>
        <w:rPr>
          <w:rFonts w:ascii="Verdana" w:eastAsia="Verdana" w:hAnsi="Verdana" w:cs="Verdana"/>
        </w:rPr>
        <w:t>новембра</w:t>
      </w:r>
      <w:proofErr w:type="gramEnd"/>
      <w:r>
        <w:rPr>
          <w:rFonts w:ascii="Verdana" w:eastAsia="Verdana" w:hAnsi="Verdana" w:cs="Verdana"/>
        </w:rPr>
        <w:t xml:space="preserve"> 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текст радне верзије био је објављен на интернет-страници Министарства за људска и мањинска права и друштвени дија</w:t>
      </w:r>
      <w:r>
        <w:rPr>
          <w:rFonts w:ascii="Verdana" w:eastAsia="Verdana" w:hAnsi="Verdana" w:cs="Verdana"/>
        </w:rPr>
        <w:t xml:space="preserve">лог и на порталу „еКонсултацијеˮ, а 23. </w:t>
      </w:r>
      <w:proofErr w:type="gramStart"/>
      <w:r>
        <w:rPr>
          <w:rFonts w:ascii="Verdana" w:eastAsia="Verdana" w:hAnsi="Verdana" w:cs="Verdana"/>
        </w:rPr>
        <w:t>новембра</w:t>
      </w:r>
      <w:proofErr w:type="gramEnd"/>
      <w:r>
        <w:rPr>
          <w:rFonts w:ascii="Verdana" w:eastAsia="Verdana" w:hAnsi="Verdana" w:cs="Verdana"/>
        </w:rPr>
        <w:t xml:space="preserve"> 2023.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одржан је и округли сто уз учешће представника органа јавне власти, независних институција, организација цивилног друштва, академске заједнице и међународних партнера. До истека рока примљено је</w:t>
      </w:r>
      <w:r>
        <w:rPr>
          <w:rFonts w:ascii="Verdana" w:eastAsia="Verdana" w:hAnsi="Verdana" w:cs="Verdana"/>
        </w:rPr>
        <w:t xml:space="preserve"> десет коментара заинтересоване јавности, као и додатних пет коментара достављених након рока, који су, ради унапређења текста документа, такође узети у разматрање. Консултације су спроведене методом прикупљања писаних коментара, при чему су заинтересоване</w:t>
      </w:r>
      <w:r>
        <w:rPr>
          <w:rFonts w:ascii="Verdana" w:eastAsia="Verdana" w:hAnsi="Verdana" w:cs="Verdana"/>
        </w:rPr>
        <w:t xml:space="preserve"> стране имале могућност да дају опште и појединачне предлоге измена и допуна текста. У обзир су узети и коментари изнети током округлог стола, на основу сачињеног записника. Пристигли коментари и сугестије размотрени су у процесу евалуације и коришћени за </w:t>
      </w:r>
      <w:r>
        <w:rPr>
          <w:rFonts w:ascii="Verdana" w:eastAsia="Verdana" w:hAnsi="Verdana" w:cs="Verdana"/>
        </w:rPr>
        <w:t>унапређење текста Предлога акционог плана. Евалуациона листа свих пристиглих коментара из претходног консултативног процеса, са приказом резултата њихове евалуације, доступна је на интернет страници Министарства за људска и мањинска права и друштвени дијал</w:t>
      </w:r>
      <w:r>
        <w:rPr>
          <w:rFonts w:ascii="Verdana" w:eastAsia="Verdana" w:hAnsi="Verdana" w:cs="Verdana"/>
        </w:rPr>
        <w:t>ог, на адреси: https://arhiva.minljmpdd.gov.rs/javne-</w:t>
      </w:r>
      <w:r>
        <w:rPr>
          <w:rFonts w:ascii="Verdana" w:eastAsia="Verdana" w:hAnsi="Verdana" w:cs="Verdana"/>
        </w:rPr>
        <w:lastRenderedPageBreak/>
        <w:t>konsultacije.php, као и на порталу „еКонсултацијеˮ, на адреси: https://ekonsultacije.gov.rs/topicOfDiscussionPage/241/1.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Консултације о Предлогу акционог плана за 2026. </w:t>
      </w:r>
      <w:proofErr w:type="gramStart"/>
      <w:r>
        <w:rPr>
          <w:rFonts w:ascii="Verdana" w:eastAsia="Verdana" w:hAnsi="Verdana" w:cs="Verdana"/>
        </w:rPr>
        <w:t>и</w:t>
      </w:r>
      <w:proofErr w:type="gramEnd"/>
      <w:r>
        <w:rPr>
          <w:rFonts w:ascii="Verdana" w:eastAsia="Verdana" w:hAnsi="Verdana" w:cs="Verdana"/>
        </w:rPr>
        <w:t xml:space="preserve"> 2027. </w:t>
      </w:r>
      <w:proofErr w:type="gramStart"/>
      <w:r>
        <w:rPr>
          <w:rFonts w:ascii="Verdana" w:eastAsia="Verdana" w:hAnsi="Verdana" w:cs="Verdana"/>
        </w:rPr>
        <w:t>годину</w:t>
      </w:r>
      <w:proofErr w:type="gramEnd"/>
      <w:r>
        <w:rPr>
          <w:rFonts w:ascii="Verdana" w:eastAsia="Verdana" w:hAnsi="Verdana" w:cs="Verdana"/>
        </w:rPr>
        <w:t xml:space="preserve"> за спровођење Страт</w:t>
      </w:r>
      <w:r>
        <w:rPr>
          <w:rFonts w:ascii="Verdana" w:eastAsia="Verdana" w:hAnsi="Verdana" w:cs="Verdana"/>
        </w:rPr>
        <w:t xml:space="preserve">егије превенције и заштите од дискриминације за период од 2022.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2030.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 xml:space="preserve"> спроведене су у периоду од 16. </w:t>
      </w:r>
      <w:proofErr w:type="gramStart"/>
      <w:r>
        <w:rPr>
          <w:rFonts w:ascii="Verdana" w:eastAsia="Verdana" w:hAnsi="Verdana" w:cs="Verdana"/>
        </w:rPr>
        <w:t>до</w:t>
      </w:r>
      <w:proofErr w:type="gramEnd"/>
      <w:r>
        <w:rPr>
          <w:rFonts w:ascii="Verdana" w:eastAsia="Verdana" w:hAnsi="Verdana" w:cs="Verdana"/>
        </w:rPr>
        <w:t xml:space="preserve"> 23. </w:t>
      </w:r>
      <w:proofErr w:type="gramStart"/>
      <w:r>
        <w:rPr>
          <w:rFonts w:ascii="Verdana" w:eastAsia="Verdana" w:hAnsi="Verdana" w:cs="Verdana"/>
        </w:rPr>
        <w:t>децембра</w:t>
      </w:r>
      <w:proofErr w:type="gramEnd"/>
      <w:r>
        <w:rPr>
          <w:rFonts w:ascii="Verdana" w:eastAsia="Verdana" w:hAnsi="Verdana" w:cs="Verdana"/>
        </w:rPr>
        <w:t xml:space="preserve"> 2025. </w:t>
      </w:r>
      <w:proofErr w:type="gramStart"/>
      <w:r>
        <w:rPr>
          <w:rFonts w:ascii="Verdana" w:eastAsia="Verdana" w:hAnsi="Verdana" w:cs="Verdana"/>
        </w:rPr>
        <w:t>године</w:t>
      </w:r>
      <w:proofErr w:type="gramEnd"/>
      <w:r>
        <w:rPr>
          <w:rFonts w:ascii="Verdana" w:eastAsia="Verdana" w:hAnsi="Verdana" w:cs="Verdana"/>
        </w:rPr>
        <w:t>, методом прикупљања писаних коментара путем портала „еКонсултацијеˮ (https://ekonsultacije.gov.rs/topicOfDiscussionP</w:t>
      </w:r>
      <w:r>
        <w:rPr>
          <w:rFonts w:ascii="Verdana" w:eastAsia="Verdana" w:hAnsi="Verdana" w:cs="Verdana"/>
        </w:rPr>
        <w:t>age/587/3). Информације о времену, месту и методама консултација, као и њихови резултати објављени су на порталу „еКонсултацијеˮ, као и на интернет-страници Министарства за људска и мањинска права и друштвени дијалог, на адреси: https://minljmpdd.gov.rs/do</w:t>
      </w:r>
      <w:r>
        <w:rPr>
          <w:rFonts w:ascii="Verdana" w:eastAsia="Verdana" w:hAnsi="Verdana" w:cs="Verdana"/>
        </w:rPr>
        <w:t>kumenta/akta-u-pripremi/javne-konsultacije/. У процесу консултација није било прикупљених сугестија, примедаба нити коментара који би били узети у разматрање.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iIiIqIa5v8DHN0s9BMJTH0AAAAASUVORK5CYII=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iIiIiIiIiIiIgMzP8DGkQpgoJqfmEAAAAASUVORK5CYII=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jQ7TOcehSGAAAAAElFTkSuQmCC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b9K4koqrLAAAAABJRU5ErkJggg=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AAAAAAAAAIDFEP4DAAAAAAAAAGAxhP8AAAAAAAAAAFgM4T8AAAAAAAAAABZD+A8AAAAAAAAAgMX8Pxv38j28JbW7AAAAAElFTkSuQmCC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iIiIiIiIiIiIiMzP8BG4OP+rH6yZYAAAAASUVORK5CYII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IiIiEiaUfBfRERERERERERERCTNKPgvIiIiIiIiIiIiIpJmFPwXEREREREREREREUkzCv6LiIiIiIiIiIiIiKQZBf9FRERERERERERERNKMgv8iIiIiIiIiIiIiImlGwX8RERERERERERERkTSj4L+IiIiIiIiIiIiISJpR8F9EREREREREREREJM0o+C8iIiIiIiIiIiIikmb+P3TrnWsuG0wKAAAAAElFTkSuQmCC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AAAAIDHCfwAAAAAASIzwHwAAAAAAEiP8BwAAAACAxPwPfoyM+tP85xUAAAAASUVORK5CYII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IiIiIiXUfFfRERERERERERERMTLqPgvIiIiIiIiIiIiIuJlVPwXEREREREREREREfEyKv6LiIiIiIiIiIiIiHgZFf9FRERERERERERERLyMiv8iIiIiIiIiIiIiIl5GxX8RERERERERERERES+j4r+IiIiIiIiIiIiIiJdR8V9ERERERERERERExMuo+C8iIiIiIiIiIiIi4mX+H7WEW0NeXqqCAAAAAElFTkSuQmCC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BcwI8Pc61QQAAAABJRU5ErkJggg=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05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qj4L+IiIiIiIiIiIiISCrzH8WZmbCV+hGaAAAAAElFTkSuQmCC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3kW5bdq3wAAAABJRU5ErkJggg=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OqZPTAbs8MwAAAABJRU5ErkJggg==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AAAAgGfEfAAAAAACSEf8BAAAAACAZ8R8AAAAAAJL5Bwbd4lEf2+DQAAAAAElFTkSuQmCC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P5lAY5Z4AAAAABJRU5ErkJggg==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SRrAzW71AAAAAElFTkSuQmCC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izIpvbP8VMAAAAAElFTkSuQmCC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ZS33XmiM0sgAAAABJRU5ErkJggg==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kRERERERERERERElMUw+E9ERERERERERERElMUw+E9ERERERERERERElMUw+E9ERERERERERERElMUw+E9ERERERERERERElMVohBDqNCIiIiIiIiIiIiIi+oKx5T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D4D8RERERERERERERURbzf2y3gJHTJwiBAAAAAElFTkSuQmCC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D8ODsOEnVNwAAAABJRU5ErkJggg==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AZ9O2YstaPAAAAABJRU5ErkJggg==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AAAAAAAABBnCfwAAAAAAAAAAggzhPwAAAAAAAAAAQYbwHwAAAAAAAACAIEP4DwAAAAAAAABAkCH8BwAAAAAAAAAgyBD+AwAAAAAAAAAQZP4fSFWgzqu6Kp4AAAAASUVORK5CYII=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+UFryTK8lCFgAAAABJRU5ErkJggg==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AAAAwIz8BwAAAACAGfkPAAAAAAAz8h8AAAAAAGYCno69pUdYEogAAAAASUVORK5CYII=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>VI. СКРАЋЕНИЦЕ</w:t>
      </w:r>
    </w:p>
    <w:tbl>
      <w:tblPr>
        <w:tblW w:w="4950" w:type="pct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9"/>
        <w:gridCol w:w="6747"/>
      </w:tblGrid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ECRI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Европска комисија Савета Европе против расизма и нетолеранције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EU4SORS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Пројекат Републичког завода за статистику „EU4SORS – Развој модерног статистичког система”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EUROSTAT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Канцеларија Европске уније за статистику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GIZ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Немачка организација за међународну с</w:t>
            </w:r>
            <w:r>
              <w:rPr>
                <w:rFonts w:ascii="Verdana" w:eastAsia="Verdana" w:hAnsi="Verdana" w:cs="Verdana"/>
              </w:rPr>
              <w:t>арадњу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АП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Акциони план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ВЈТ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Врховно јавно тужилаштво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ВС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Врховни суд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ЕСЉП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Европски суд за људска права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ЕУ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Европска унија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ЗГ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Заштитник грађана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ЗУОВ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Завод за унапређење образовања и васпитања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ЈЛС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јединице локалне самоуправе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Кабинет министарке без портфеља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Кабинет министарке без портфеља задужене за област родне равноправности, спречавања насиља над женама и економског и политичког оснаживања жена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КДК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Компетенције за демократску културу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КИТЕУ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Канцеларија за информационе технологије и електронску управу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lastRenderedPageBreak/>
              <w:t>ЛГБТИ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лезбијске, геј, бисексуалне, трансродне особе и особе са варијацијама полних карактеристика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МБПД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за бригу о породицу и демографију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МДУЛС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државне управе и локалне самоуправе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МЗ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здравља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МИТ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информисања и телекомуникација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МК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културе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МЉМПДД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за људска и мањинска права и друштвени дијалог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МНТРИ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науке, технолошког развоја и иновација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МО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одбране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правде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МПРО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просвете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МПШВ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пољопривреде, шумарства и водопривреде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МРЗБСП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за рад, запошљавање, борачка и социјална питања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спорта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МТО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туризма и омладине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МУП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унутрашњих послова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МФ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Министарство финансија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НАЈУ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Национална академија за јавну управу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НСЗ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Национална служба за запошљавање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НСРС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Народна скупштина Републике Србије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ОЈВ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органи јавне власти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ОСИ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особе са инвалидитетом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ОЦД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организације цивилног друштва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П. академија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Правосудна академија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ПА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програмска активност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ПЗР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Повереник за заштиту равноправности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ПИЈЗЗПЛ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Повереник за информације од јавног значаја и заштиту података о личности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ПКС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Привредна комора Србије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ПСКЈИОВЗ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Покрајински секретаријат за културу, јавно информисање и односе с верским заједницама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lastRenderedPageBreak/>
              <w:t>ПСОПУНМНЗ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Покрајински секретаријат за образовање, прописе, управу и националне мањине-националне заједнице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ПССПДРП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Покрајински секретаријат за социјалну политику, демографију и равноправност полова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РЗС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Републички завод за статистику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РЗСЗ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Републички завод за социј</w:t>
            </w:r>
            <w:r>
              <w:rPr>
                <w:rFonts w:ascii="Verdana" w:eastAsia="Verdana" w:hAnsi="Verdana" w:cs="Verdana"/>
              </w:rPr>
              <w:t>алну заштиту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РС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Република Србија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РСЈП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Републички секретаријат за јавне политике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СКГО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Стална конференција градова и општина – Савез градова и општина Србије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СУК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Служба за управљање кадровима</w:t>
            </w:r>
          </w:p>
        </w:tc>
      </w:tr>
      <w:tr w:rsidR="002A2F00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СУЉР</w:t>
            </w:r>
          </w:p>
        </w:tc>
        <w:tc>
          <w:tcPr>
            <w:tcW w:w="0" w:type="auto"/>
          </w:tcPr>
          <w:p w:rsidR="002A2F00" w:rsidRDefault="00683382">
            <w:pPr>
              <w:spacing w:line="210" w:lineRule="atLeast"/>
            </w:pPr>
            <w:r>
              <w:rPr>
                <w:rFonts w:ascii="Verdana" w:eastAsia="Verdana" w:hAnsi="Verdana" w:cs="Verdana"/>
              </w:rPr>
              <w:t>Служба за управљање људским ресурсима</w:t>
            </w:r>
          </w:p>
        </w:tc>
      </w:tr>
    </w:tbl>
    <w:p w:rsidR="002A2F00" w:rsidRDefault="00683382">
      <w:pPr>
        <w:spacing w:line="210" w:lineRule="atLeast"/>
        <w:jc w:val="center"/>
      </w:pPr>
      <w:r>
        <w:rPr>
          <w:rFonts w:ascii="Verdana" w:eastAsia="Verdana" w:hAnsi="Verdana" w:cs="Verdana"/>
        </w:rPr>
        <w:t>VII. ЗАВРШНИ ДЕО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>Овај акциони план објавити на Интернет страници Владе, на Порталу „е-Управа” и на Интернет страници Министарства за људска и мањинска права и друштвени дијалог, у року од седам радних дана од дана усвајања.</w:t>
      </w:r>
    </w:p>
    <w:p w:rsidR="002A2F00" w:rsidRDefault="00683382">
      <w:pPr>
        <w:spacing w:line="210" w:lineRule="atLeast"/>
      </w:pPr>
      <w:r>
        <w:rPr>
          <w:rFonts w:ascii="Verdana" w:eastAsia="Verdana" w:hAnsi="Verdana" w:cs="Verdana"/>
        </w:rPr>
        <w:t xml:space="preserve">Овај акциони план објавити у „Службеном гласнику </w:t>
      </w:r>
      <w:r>
        <w:rPr>
          <w:rFonts w:ascii="Verdana" w:eastAsia="Verdana" w:hAnsi="Verdana" w:cs="Verdana"/>
        </w:rPr>
        <w:t>Републике Србије”.</w:t>
      </w:r>
    </w:p>
    <w:p w:rsidR="002A2F00" w:rsidRDefault="00683382">
      <w:pPr>
        <w:spacing w:line="210" w:lineRule="atLeast"/>
        <w:jc w:val="right"/>
      </w:pPr>
      <w:proofErr w:type="gramStart"/>
      <w:r>
        <w:rPr>
          <w:rFonts w:ascii="Verdana" w:eastAsia="Verdana" w:hAnsi="Verdana" w:cs="Verdana"/>
        </w:rPr>
        <w:t>05</w:t>
      </w:r>
      <w:proofErr w:type="gramEnd"/>
      <w:r>
        <w:rPr>
          <w:rFonts w:ascii="Verdana" w:eastAsia="Verdana" w:hAnsi="Verdana" w:cs="Verdana"/>
        </w:rPr>
        <w:t xml:space="preserve"> број 56-1240/2026-1</w:t>
      </w:r>
    </w:p>
    <w:p w:rsidR="002A2F00" w:rsidRDefault="00683382">
      <w:pPr>
        <w:spacing w:line="210" w:lineRule="atLeast"/>
        <w:jc w:val="right"/>
      </w:pPr>
      <w:r>
        <w:rPr>
          <w:rFonts w:ascii="Verdana" w:eastAsia="Verdana" w:hAnsi="Verdana" w:cs="Verdana"/>
        </w:rPr>
        <w:t xml:space="preserve">У Београду, 12. </w:t>
      </w:r>
      <w:proofErr w:type="gramStart"/>
      <w:r>
        <w:rPr>
          <w:rFonts w:ascii="Verdana" w:eastAsia="Verdana" w:hAnsi="Verdana" w:cs="Verdana"/>
        </w:rPr>
        <w:t>фебруара</w:t>
      </w:r>
      <w:proofErr w:type="gramEnd"/>
      <w:r>
        <w:rPr>
          <w:rFonts w:ascii="Verdana" w:eastAsia="Verdana" w:hAnsi="Verdana" w:cs="Verdana"/>
        </w:rPr>
        <w:t xml:space="preserve"> 2026. </w:t>
      </w:r>
      <w:proofErr w:type="gramStart"/>
      <w:r>
        <w:rPr>
          <w:rFonts w:ascii="Verdana" w:eastAsia="Verdana" w:hAnsi="Verdana" w:cs="Verdana"/>
        </w:rPr>
        <w:t>годинe</w:t>
      </w:r>
      <w:proofErr w:type="gramEnd"/>
    </w:p>
    <w:p w:rsidR="002A2F00" w:rsidRDefault="00683382">
      <w:pPr>
        <w:spacing w:line="210" w:lineRule="atLeast"/>
        <w:jc w:val="right"/>
      </w:pPr>
      <w:r>
        <w:rPr>
          <w:rFonts w:ascii="Verdana" w:eastAsia="Verdana" w:hAnsi="Verdana" w:cs="Verdana"/>
          <w:b/>
        </w:rPr>
        <w:t>Влада</w:t>
      </w:r>
    </w:p>
    <w:p w:rsidR="002A2F00" w:rsidRDefault="00683382">
      <w:pPr>
        <w:spacing w:line="210" w:lineRule="atLeast"/>
        <w:jc w:val="right"/>
      </w:pPr>
      <w:r>
        <w:rPr>
          <w:rFonts w:ascii="Verdana" w:eastAsia="Verdana" w:hAnsi="Verdana" w:cs="Verdana"/>
        </w:rPr>
        <w:t>Председник,</w:t>
      </w:r>
    </w:p>
    <w:p w:rsidR="002A2F00" w:rsidRDefault="00683382">
      <w:pPr>
        <w:spacing w:line="210" w:lineRule="atLeast"/>
        <w:jc w:val="right"/>
      </w:pPr>
      <w:proofErr w:type="gramStart"/>
      <w:r>
        <w:rPr>
          <w:rFonts w:ascii="Verdana" w:eastAsia="Verdana" w:hAnsi="Verdana" w:cs="Verdana"/>
        </w:rPr>
        <w:t>проф</w:t>
      </w:r>
      <w:proofErr w:type="gramEnd"/>
      <w:r>
        <w:rPr>
          <w:rFonts w:ascii="Verdana" w:eastAsia="Verdana" w:hAnsi="Verdana" w:cs="Verdana"/>
        </w:rPr>
        <w:t xml:space="preserve">. </w:t>
      </w:r>
      <w:proofErr w:type="gramStart"/>
      <w:r>
        <w:rPr>
          <w:rFonts w:ascii="Verdana" w:eastAsia="Verdana" w:hAnsi="Verdana" w:cs="Verdana"/>
        </w:rPr>
        <w:t>др</w:t>
      </w:r>
      <w:proofErr w:type="gram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</w:rPr>
        <w:t xml:space="preserve">Ђуро Мацут, </w:t>
      </w:r>
      <w:r>
        <w:rPr>
          <w:rFonts w:ascii="Verdana" w:eastAsia="Verdana" w:hAnsi="Verdana" w:cs="Verdana"/>
        </w:rPr>
        <w:t>с.р.</w:t>
      </w:r>
    </w:p>
    <w:sectPr w:rsidR="002A2F0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00"/>
    <w:rsid w:val="002A2F00"/>
    <w:rsid w:val="00683382"/>
    <w:rsid w:val="009E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CBA351-628B-4DBA-B88B-FB73B755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bmp"/><Relationship Id="rId13" Type="http://schemas.openxmlformats.org/officeDocument/2006/relationships/image" Target="media/image9.bmp"/><Relationship Id="rId18" Type="http://schemas.openxmlformats.org/officeDocument/2006/relationships/image" Target="media/image14.bmp"/><Relationship Id="rId26" Type="http://schemas.openxmlformats.org/officeDocument/2006/relationships/image" Target="media/image22.bmp"/><Relationship Id="rId3" Type="http://schemas.openxmlformats.org/officeDocument/2006/relationships/webSettings" Target="webSettings.xml"/><Relationship Id="rId21" Type="http://schemas.openxmlformats.org/officeDocument/2006/relationships/image" Target="media/image17.bmp"/><Relationship Id="rId7" Type="http://schemas.openxmlformats.org/officeDocument/2006/relationships/image" Target="media/image3.bmp"/><Relationship Id="rId12" Type="http://schemas.openxmlformats.org/officeDocument/2006/relationships/image" Target="media/image8.bmp"/><Relationship Id="rId17" Type="http://schemas.openxmlformats.org/officeDocument/2006/relationships/image" Target="media/image13.bmp"/><Relationship Id="rId25" Type="http://schemas.openxmlformats.org/officeDocument/2006/relationships/image" Target="media/image21.bmp"/><Relationship Id="rId2" Type="http://schemas.openxmlformats.org/officeDocument/2006/relationships/settings" Target="settings.xml"/><Relationship Id="rId16" Type="http://schemas.openxmlformats.org/officeDocument/2006/relationships/image" Target="media/image12.bmp"/><Relationship Id="rId20" Type="http://schemas.openxmlformats.org/officeDocument/2006/relationships/image" Target="media/image16.bm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11" Type="http://schemas.openxmlformats.org/officeDocument/2006/relationships/image" Target="media/image7.bmp"/><Relationship Id="rId24" Type="http://schemas.openxmlformats.org/officeDocument/2006/relationships/image" Target="media/image20.bmp"/><Relationship Id="rId5" Type="http://schemas.openxmlformats.org/officeDocument/2006/relationships/image" Target="media/image1.bmp"/><Relationship Id="rId15" Type="http://schemas.openxmlformats.org/officeDocument/2006/relationships/image" Target="media/image11.bmp"/><Relationship Id="rId23" Type="http://schemas.openxmlformats.org/officeDocument/2006/relationships/image" Target="media/image19.bmp"/><Relationship Id="rId28" Type="http://schemas.openxmlformats.org/officeDocument/2006/relationships/image" Target="media/image24.bmp"/><Relationship Id="rId10" Type="http://schemas.openxmlformats.org/officeDocument/2006/relationships/image" Target="media/image6.bmp"/><Relationship Id="rId19" Type="http://schemas.openxmlformats.org/officeDocument/2006/relationships/image" Target="media/image15.bmp"/><Relationship Id="rId4" Type="http://schemas.openxmlformats.org/officeDocument/2006/relationships/hyperlink" Target="https://pravno-informacioni-sistem.rs" TargetMode="External"/><Relationship Id="rId9" Type="http://schemas.openxmlformats.org/officeDocument/2006/relationships/image" Target="media/image5.bmp"/><Relationship Id="rId14" Type="http://schemas.openxmlformats.org/officeDocument/2006/relationships/image" Target="media/image10.bmp"/><Relationship Id="rId22" Type="http://schemas.openxmlformats.org/officeDocument/2006/relationships/image" Target="media/image18.bmp"/><Relationship Id="rId27" Type="http://schemas.openxmlformats.org/officeDocument/2006/relationships/image" Target="media/image23.bm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4087</Words>
  <Characters>23300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Smailagić Urkmez</dc:creator>
  <cp:lastModifiedBy>Ivana Smailagić Urkmez</cp:lastModifiedBy>
  <cp:revision>2</cp:revision>
  <dcterms:created xsi:type="dcterms:W3CDTF">2026-03-13T10:48:00Z</dcterms:created>
  <dcterms:modified xsi:type="dcterms:W3CDTF">2026-03-13T10:48:00Z</dcterms:modified>
</cp:coreProperties>
</file>