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FE0" w:rsidRDefault="00F66FE0">
      <w:pPr>
        <w:rPr>
          <w:i/>
        </w:rPr>
      </w:pPr>
    </w:p>
    <w:p w:rsidR="00AA34AE" w:rsidRPr="002E206E" w:rsidRDefault="00A85B18" w:rsidP="00AA34AE">
      <w:pPr>
        <w:pStyle w:val="Header"/>
        <w:jc w:val="center"/>
        <w:rPr>
          <w:rFonts w:ascii="Times New Roman" w:hAnsi="Times New Roman"/>
          <w:b/>
          <w:sz w:val="22"/>
          <w:szCs w:val="22"/>
          <w:lang w:val="sr-Cyrl-RS"/>
        </w:rPr>
      </w:pPr>
      <w:r>
        <w:rPr>
          <w:rFonts w:ascii="Times New Roman" w:hAnsi="Times New Roman"/>
          <w:b/>
          <w:sz w:val="22"/>
          <w:szCs w:val="22"/>
        </w:rPr>
        <w:t xml:space="preserve">НАРАТИВНИ ПРИКАЗ БУЏЕТА </w:t>
      </w:r>
      <w:r w:rsidR="00AA34AE" w:rsidRPr="00A85B18">
        <w:rPr>
          <w:rFonts w:ascii="Times New Roman" w:hAnsi="Times New Roman"/>
          <w:b/>
          <w:sz w:val="22"/>
          <w:szCs w:val="22"/>
          <w:lang w:val="sr-Cyrl-RS"/>
        </w:rPr>
        <w:t>ПРОЈЕКТА</w:t>
      </w:r>
    </w:p>
    <w:p w:rsidR="00AA34AE" w:rsidRDefault="00AA34AE" w:rsidP="00AA34AE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99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6446"/>
      </w:tblGrid>
      <w:tr w:rsidR="005747AD" w:rsidRPr="006B6DF2" w:rsidTr="005747AD">
        <w:trPr>
          <w:trHeight w:val="545"/>
        </w:trPr>
        <w:tc>
          <w:tcPr>
            <w:tcW w:w="3544" w:type="dxa"/>
            <w:shd w:val="clear" w:color="auto" w:fill="EAF1DD"/>
            <w:vAlign w:val="center"/>
          </w:tcPr>
          <w:p w:rsidR="005747AD" w:rsidRPr="00641B72" w:rsidRDefault="005747AD" w:rsidP="00641B7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Назив </w:t>
            </w:r>
            <w:proofErr w:type="spellStart"/>
            <w:r>
              <w:rPr>
                <w:rFonts w:ascii="Times New Roman" w:hAnsi="Times New Roman"/>
                <w:sz w:val="24"/>
                <w:szCs w:val="22"/>
              </w:rPr>
              <w:t>пр</w:t>
            </w:r>
            <w:r>
              <w:rPr>
                <w:rFonts w:ascii="Times New Roman" w:hAnsi="Times New Roman"/>
                <w:sz w:val="24"/>
                <w:szCs w:val="22"/>
                <w:lang w:val="sr-Cyrl-RS"/>
              </w:rPr>
              <w:t>ограма</w:t>
            </w:r>
            <w:proofErr w:type="spellEnd"/>
          </w:p>
        </w:tc>
        <w:tc>
          <w:tcPr>
            <w:tcW w:w="6446" w:type="dxa"/>
            <w:shd w:val="clear" w:color="auto" w:fill="EAF1DD"/>
            <w:vAlign w:val="center"/>
          </w:tcPr>
          <w:p w:rsidR="005747AD" w:rsidRPr="006B6DF2" w:rsidRDefault="005747AD" w:rsidP="00636E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747AD" w:rsidRPr="00AA34AE" w:rsidTr="005747AD">
        <w:tc>
          <w:tcPr>
            <w:tcW w:w="3544" w:type="dxa"/>
          </w:tcPr>
          <w:p w:rsidR="005747AD" w:rsidRPr="006B6DF2" w:rsidRDefault="005747AD" w:rsidP="00B145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5B18">
              <w:rPr>
                <w:rFonts w:ascii="Times New Roman" w:hAnsi="Times New Roman"/>
                <w:sz w:val="24"/>
                <w:szCs w:val="22"/>
              </w:rPr>
              <w:t xml:space="preserve">Подносилац предлога </w:t>
            </w:r>
            <w:r w:rsidRPr="00A85B18">
              <w:rPr>
                <w:rFonts w:ascii="Times New Roman" w:hAnsi="Times New Roman"/>
                <w:sz w:val="24"/>
                <w:szCs w:val="22"/>
                <w:lang w:val="sr-Cyrl-RS"/>
              </w:rPr>
              <w:t xml:space="preserve">пројекта </w:t>
            </w:r>
            <w:r w:rsidRPr="00A85B18">
              <w:rPr>
                <w:rFonts w:ascii="Times New Roman" w:hAnsi="Times New Roman"/>
                <w:sz w:val="24"/>
                <w:szCs w:val="22"/>
              </w:rPr>
              <w:t xml:space="preserve">(назив </w:t>
            </w:r>
            <w:r w:rsidRPr="00A85B18">
              <w:rPr>
                <w:rFonts w:ascii="Times New Roman" w:hAnsi="Times New Roman"/>
                <w:sz w:val="24"/>
                <w:szCs w:val="22"/>
                <w:lang w:val="sr-Cyrl-RS"/>
              </w:rPr>
              <w:t>организације цивилног друштва (ОЦД</w:t>
            </w:r>
            <w:r w:rsidRPr="00A85B18">
              <w:rPr>
                <w:rFonts w:ascii="Times New Roman" w:hAnsi="Times New Roman"/>
                <w:sz w:val="24"/>
                <w:szCs w:val="22"/>
              </w:rPr>
              <w:t>)</w:t>
            </w:r>
          </w:p>
        </w:tc>
        <w:tc>
          <w:tcPr>
            <w:tcW w:w="6446" w:type="dxa"/>
          </w:tcPr>
          <w:p w:rsidR="005747AD" w:rsidRPr="00AA34AE" w:rsidRDefault="005747AD" w:rsidP="00636E6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47AD" w:rsidRPr="00223528" w:rsidTr="005747AD">
        <w:tc>
          <w:tcPr>
            <w:tcW w:w="3544" w:type="dxa"/>
          </w:tcPr>
          <w:p w:rsidR="005747AD" w:rsidRPr="00223528" w:rsidRDefault="005747AD" w:rsidP="005747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Износ који се тражи од Министарство за људска и мањинска права и друштвени дијалог</w:t>
            </w:r>
          </w:p>
        </w:tc>
        <w:tc>
          <w:tcPr>
            <w:tcW w:w="6446" w:type="dxa"/>
          </w:tcPr>
          <w:p w:rsidR="005747AD" w:rsidRPr="00223528" w:rsidRDefault="005747AD" w:rsidP="00636E6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517D7" w:rsidRPr="00223528" w:rsidTr="005747AD">
        <w:tc>
          <w:tcPr>
            <w:tcW w:w="3544" w:type="dxa"/>
          </w:tcPr>
          <w:p w:rsidR="000517D7" w:rsidRPr="00223528" w:rsidRDefault="000517D7" w:rsidP="005747AD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2"/>
                <w:lang w:val="sr-Latn-RS"/>
              </w:rPr>
              <w:t>Износ који се обезбеђује из других средстава</w:t>
            </w:r>
          </w:p>
        </w:tc>
        <w:tc>
          <w:tcPr>
            <w:tcW w:w="6446" w:type="dxa"/>
          </w:tcPr>
          <w:p w:rsidR="000517D7" w:rsidRPr="00223528" w:rsidRDefault="000517D7" w:rsidP="00636E6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47AD" w:rsidRPr="00223528" w:rsidTr="005A7A75">
        <w:trPr>
          <w:trHeight w:val="358"/>
        </w:trPr>
        <w:tc>
          <w:tcPr>
            <w:tcW w:w="3544" w:type="dxa"/>
          </w:tcPr>
          <w:p w:rsidR="005747AD" w:rsidRPr="00223528" w:rsidRDefault="00A85B18" w:rsidP="002E206E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Укупни трошкови </w:t>
            </w:r>
            <w:r w:rsidR="005747AD" w:rsidRPr="00A85B18">
              <w:rPr>
                <w:rFonts w:ascii="Times New Roman" w:hAnsi="Times New Roman"/>
                <w:sz w:val="24"/>
                <w:szCs w:val="22"/>
                <w:lang w:val="sr-Cyrl-RS"/>
              </w:rPr>
              <w:t>пројекта</w:t>
            </w:r>
          </w:p>
        </w:tc>
        <w:tc>
          <w:tcPr>
            <w:tcW w:w="6446" w:type="dxa"/>
          </w:tcPr>
          <w:p w:rsidR="005747AD" w:rsidRPr="00223528" w:rsidRDefault="005747AD" w:rsidP="00636E6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F5393" w:rsidRPr="00223528" w:rsidRDefault="003F5393" w:rsidP="004D655B">
      <w:pPr>
        <w:jc w:val="both"/>
        <w:rPr>
          <w:rFonts w:ascii="Times New Roman" w:hAnsi="Times New Roman"/>
          <w:sz w:val="22"/>
          <w:szCs w:val="22"/>
        </w:rPr>
      </w:pPr>
    </w:p>
    <w:p w:rsidR="005747AD" w:rsidRPr="00223528" w:rsidRDefault="005747AD" w:rsidP="00DA218E">
      <w:pPr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У пољима испод сваке доле наведене ставке потребно је детаљно образложити све трошкове који припадају наведеној буџетској линији.</w:t>
      </w:r>
    </w:p>
    <w:p w:rsidR="005747AD" w:rsidRPr="00223528" w:rsidRDefault="005747AD">
      <w:pPr>
        <w:rPr>
          <w:rFonts w:ascii="Times New Roman" w:hAnsi="Times New Roman"/>
          <w:sz w:val="22"/>
          <w:szCs w:val="22"/>
        </w:rPr>
      </w:pPr>
    </w:p>
    <w:tbl>
      <w:tblPr>
        <w:tblW w:w="99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9162"/>
      </w:tblGrid>
      <w:tr w:rsidR="00725F14" w:rsidRPr="00223528" w:rsidTr="007D112B">
        <w:trPr>
          <w:trHeight w:val="545"/>
        </w:trPr>
        <w:tc>
          <w:tcPr>
            <w:tcW w:w="828" w:type="dxa"/>
            <w:shd w:val="clear" w:color="auto" w:fill="EAF1DD"/>
            <w:vAlign w:val="center"/>
          </w:tcPr>
          <w:p w:rsidR="00224927" w:rsidRPr="00223528" w:rsidRDefault="00274D97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224927" w:rsidRPr="00223528" w:rsidRDefault="003C1A4F" w:rsidP="00315ECD">
            <w:pPr>
              <w:rPr>
                <w:rFonts w:ascii="Times New Roman" w:hAnsi="Times New Roman"/>
                <w:b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RS"/>
              </w:rPr>
              <w:t>Трошкови управљања и администрације</w:t>
            </w:r>
          </w:p>
        </w:tc>
      </w:tr>
      <w:tr w:rsidR="00224927" w:rsidRPr="00223528" w:rsidTr="00A15EFA">
        <w:tc>
          <w:tcPr>
            <w:tcW w:w="828" w:type="dxa"/>
          </w:tcPr>
          <w:p w:rsidR="00224927" w:rsidRPr="00223528" w:rsidRDefault="00224927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62" w:type="dxa"/>
          </w:tcPr>
          <w:p w:rsidR="00224927" w:rsidRPr="00223528" w:rsidRDefault="003C1A4F" w:rsidP="00B1480D">
            <w:pPr>
              <w:jc w:val="both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A85B18">
              <w:rPr>
                <w:rFonts w:ascii="Times New Roman" w:hAnsi="Times New Roman"/>
                <w:sz w:val="22"/>
                <w:szCs w:val="22"/>
                <w:lang w:val="sr-Cyrl-RS"/>
              </w:rPr>
              <w:t>Људски ресурси –</w:t>
            </w:r>
            <w:r w:rsidRPr="00A85B1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85B18">
              <w:rPr>
                <w:rFonts w:ascii="Times New Roman" w:hAnsi="Times New Roman"/>
                <w:sz w:val="22"/>
                <w:szCs w:val="22"/>
                <w:lang w:val="sr-Cyrl-RS"/>
              </w:rPr>
              <w:t>Х</w:t>
            </w:r>
            <w:proofErr w:type="spellStart"/>
            <w:r w:rsidRPr="00A85B18">
              <w:rPr>
                <w:rFonts w:ascii="Times New Roman" w:hAnsi="Times New Roman"/>
                <w:sz w:val="22"/>
                <w:szCs w:val="22"/>
              </w:rPr>
              <w:t>онорари</w:t>
            </w:r>
            <w:proofErr w:type="spellEnd"/>
            <w:r w:rsidRPr="00A85B18">
              <w:rPr>
                <w:rFonts w:ascii="Times New Roman" w:hAnsi="Times New Roman"/>
                <w:sz w:val="22"/>
                <w:szCs w:val="22"/>
                <w:lang w:val="sr-Cyrl-RS"/>
              </w:rPr>
              <w:t>, накнаде (у овом делу се приказују сви трошкови надокнада лица анг</w:t>
            </w:r>
            <w:r w:rsidR="00A85B18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ажованих на управљању </w:t>
            </w:r>
            <w:r w:rsidRPr="00A85B18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пројектом, координатор/менаџер, асистент/и, финансијска оператива без обзира да ли је реч о физичком </w:t>
            </w:r>
            <w:r w:rsidRPr="00A85B18">
              <w:rPr>
                <w:rFonts w:ascii="Times New Roman" w:hAnsi="Times New Roman"/>
                <w:color w:val="000000"/>
                <w:sz w:val="22"/>
                <w:szCs w:val="22"/>
                <w:lang w:val="sr-Cyrl-RS"/>
              </w:rPr>
              <w:t>или правном</w:t>
            </w:r>
            <w:r w:rsidRPr="00A85B18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лицу, без ревизије).</w:t>
            </w:r>
          </w:p>
        </w:tc>
      </w:tr>
      <w:tr w:rsidR="00224927" w:rsidRPr="00223528" w:rsidTr="00A15EFA">
        <w:tc>
          <w:tcPr>
            <w:tcW w:w="828" w:type="dxa"/>
          </w:tcPr>
          <w:p w:rsidR="00224927" w:rsidRPr="00223528" w:rsidRDefault="00274D97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9162" w:type="dxa"/>
          </w:tcPr>
          <w:p w:rsidR="00224927" w:rsidRPr="00223528" w:rsidRDefault="00224927" w:rsidP="00FF328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4927" w:rsidRPr="00223528" w:rsidTr="00A15EFA">
        <w:tc>
          <w:tcPr>
            <w:tcW w:w="828" w:type="dxa"/>
          </w:tcPr>
          <w:p w:rsidR="00224927" w:rsidRPr="00223528" w:rsidRDefault="00274D97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9162" w:type="dxa"/>
          </w:tcPr>
          <w:p w:rsidR="00224927" w:rsidRPr="00223528" w:rsidRDefault="00224927" w:rsidP="00FF328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4927" w:rsidRPr="00223528" w:rsidTr="00A15EFA">
        <w:tc>
          <w:tcPr>
            <w:tcW w:w="828" w:type="dxa"/>
          </w:tcPr>
          <w:p w:rsidR="00224927" w:rsidRPr="00223528" w:rsidRDefault="00274D97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9162" w:type="dxa"/>
          </w:tcPr>
          <w:p w:rsidR="00224927" w:rsidRPr="00223528" w:rsidRDefault="00224927" w:rsidP="00FF328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5ED5" w:rsidRPr="00223528" w:rsidTr="00A15EFA">
        <w:tc>
          <w:tcPr>
            <w:tcW w:w="828" w:type="dxa"/>
          </w:tcPr>
          <w:p w:rsidR="00895ED5" w:rsidRPr="00223528" w:rsidRDefault="00895ED5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1.4.</w:t>
            </w:r>
          </w:p>
        </w:tc>
        <w:tc>
          <w:tcPr>
            <w:tcW w:w="9162" w:type="dxa"/>
          </w:tcPr>
          <w:p w:rsidR="00895ED5" w:rsidRPr="00223528" w:rsidRDefault="00895ED5" w:rsidP="00B04D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</w:t>
            </w:r>
          </w:p>
        </w:tc>
      </w:tr>
      <w:tr w:rsidR="00315ECD" w:rsidRPr="00223528" w:rsidTr="00A15EFA">
        <w:tc>
          <w:tcPr>
            <w:tcW w:w="828" w:type="dxa"/>
          </w:tcPr>
          <w:p w:rsidR="00315ECD" w:rsidRPr="00223528" w:rsidRDefault="00B150FA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...</w:t>
            </w:r>
          </w:p>
        </w:tc>
        <w:tc>
          <w:tcPr>
            <w:tcW w:w="9162" w:type="dxa"/>
          </w:tcPr>
          <w:p w:rsidR="00315ECD" w:rsidRPr="00223528" w:rsidRDefault="00315ECD" w:rsidP="00FF328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79F5" w:rsidRPr="00223528" w:rsidTr="007D112B">
        <w:trPr>
          <w:trHeight w:val="536"/>
        </w:trPr>
        <w:tc>
          <w:tcPr>
            <w:tcW w:w="828" w:type="dxa"/>
            <w:shd w:val="clear" w:color="auto" w:fill="EAF1DD"/>
            <w:vAlign w:val="center"/>
          </w:tcPr>
          <w:p w:rsidR="002979F5" w:rsidRPr="00223528" w:rsidRDefault="002979F5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2979F5" w:rsidRPr="00223528" w:rsidRDefault="00A85B18" w:rsidP="002E206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Трошкови </w:t>
            </w:r>
            <w:r w:rsidR="00A15EFA" w:rsidRPr="00A85B18">
              <w:rPr>
                <w:rFonts w:ascii="Times New Roman" w:hAnsi="Times New Roman"/>
                <w:b/>
                <w:sz w:val="22"/>
                <w:szCs w:val="22"/>
                <w:lang w:val="sr-Cyrl-RS"/>
              </w:rPr>
              <w:t>пројектних</w:t>
            </w:r>
            <w:r w:rsidR="00A15EFA" w:rsidRPr="00A85B18">
              <w:rPr>
                <w:rFonts w:ascii="Times New Roman" w:hAnsi="Times New Roman"/>
                <w:b/>
                <w:sz w:val="22"/>
                <w:szCs w:val="22"/>
              </w:rPr>
              <w:t xml:space="preserve"> активности </w:t>
            </w:r>
            <w:r w:rsidR="00A15EFA" w:rsidRPr="00A85B18">
              <w:rPr>
                <w:rFonts w:ascii="Times New Roman" w:hAnsi="Times New Roman"/>
                <w:b/>
                <w:bCs/>
                <w:color w:val="000000"/>
                <w:sz w:val="24"/>
                <w:szCs w:val="22"/>
              </w:rPr>
              <w:t>(организација, путни трошкови, трошкови евалуације...) и остали материјални расходи</w:t>
            </w:r>
          </w:p>
        </w:tc>
      </w:tr>
      <w:tr w:rsidR="003C1A4F" w:rsidRPr="00223528" w:rsidTr="003C1A4F">
        <w:trPr>
          <w:trHeight w:val="536"/>
        </w:trPr>
        <w:tc>
          <w:tcPr>
            <w:tcW w:w="828" w:type="dxa"/>
            <w:shd w:val="clear" w:color="auto" w:fill="auto"/>
            <w:vAlign w:val="center"/>
          </w:tcPr>
          <w:p w:rsidR="003C1A4F" w:rsidRPr="00223528" w:rsidRDefault="003C1A4F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162" w:type="dxa"/>
            <w:shd w:val="clear" w:color="auto" w:fill="auto"/>
            <w:vAlign w:val="center"/>
          </w:tcPr>
          <w:p w:rsidR="003C1A4F" w:rsidRPr="00223528" w:rsidRDefault="00A85B18" w:rsidP="005221BB">
            <w:pPr>
              <w:jc w:val="both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Трошкови </w:t>
            </w:r>
            <w:r w:rsidR="003C1A4F" w:rsidRPr="00A85B18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пројектних активности треба да обухвате све оне трошкове и накнаде које се односе на </w:t>
            </w:r>
            <w:r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реализацију </w:t>
            </w:r>
            <w:r w:rsidR="003C1A4F" w:rsidRPr="00A85B18">
              <w:rPr>
                <w:rFonts w:ascii="Times New Roman" w:hAnsi="Times New Roman"/>
                <w:sz w:val="22"/>
                <w:szCs w:val="22"/>
                <w:lang w:val="sr-Cyrl-RS"/>
              </w:rPr>
              <w:t>пројектних активности, накнаде лицима која реализују активности, трошкови превоза, изнајмљивања простора за реализацију нпр. округлих столова, дебата, конференција, трошкова освежења уколико то дата активност захтева, промотивни материјали, закуп медијског простора и др.)</w:t>
            </w:r>
          </w:p>
        </w:tc>
      </w:tr>
      <w:tr w:rsidR="002979F5" w:rsidRPr="00223528" w:rsidTr="00A15EFA">
        <w:tc>
          <w:tcPr>
            <w:tcW w:w="828" w:type="dxa"/>
          </w:tcPr>
          <w:p w:rsidR="002979F5" w:rsidRPr="00223528" w:rsidRDefault="002979F5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9162" w:type="dxa"/>
          </w:tcPr>
          <w:p w:rsidR="002979F5" w:rsidRPr="00223528" w:rsidRDefault="002979F5" w:rsidP="005B10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79F5" w:rsidRPr="00223528" w:rsidTr="00A15EFA">
        <w:tc>
          <w:tcPr>
            <w:tcW w:w="828" w:type="dxa"/>
          </w:tcPr>
          <w:p w:rsidR="002979F5" w:rsidRPr="00223528" w:rsidRDefault="002979F5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9162" w:type="dxa"/>
          </w:tcPr>
          <w:p w:rsidR="002979F5" w:rsidRPr="00223528" w:rsidRDefault="002979F5" w:rsidP="005B10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79F5" w:rsidRPr="00223528" w:rsidTr="00A15EFA">
        <w:tc>
          <w:tcPr>
            <w:tcW w:w="828" w:type="dxa"/>
          </w:tcPr>
          <w:p w:rsidR="002979F5" w:rsidRPr="00223528" w:rsidRDefault="002979F5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9162" w:type="dxa"/>
          </w:tcPr>
          <w:p w:rsidR="002979F5" w:rsidRPr="00223528" w:rsidRDefault="002979F5" w:rsidP="005B10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50FA" w:rsidRPr="00223528" w:rsidTr="00A15EFA">
        <w:tc>
          <w:tcPr>
            <w:tcW w:w="828" w:type="dxa"/>
          </w:tcPr>
          <w:p w:rsidR="00B150FA" w:rsidRPr="00223528" w:rsidRDefault="001F678C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9162" w:type="dxa"/>
          </w:tcPr>
          <w:p w:rsidR="00B150FA" w:rsidRPr="00223528" w:rsidRDefault="00B150FA" w:rsidP="005B10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678C" w:rsidRPr="00223528" w:rsidTr="00A15EFA">
        <w:tc>
          <w:tcPr>
            <w:tcW w:w="828" w:type="dxa"/>
          </w:tcPr>
          <w:p w:rsidR="001F678C" w:rsidRPr="00223528" w:rsidRDefault="001F678C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9162" w:type="dxa"/>
          </w:tcPr>
          <w:p w:rsidR="001F678C" w:rsidRPr="00223528" w:rsidRDefault="001F678C" w:rsidP="005B10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678C" w:rsidRPr="00223528" w:rsidTr="00A15EFA">
        <w:tc>
          <w:tcPr>
            <w:tcW w:w="828" w:type="dxa"/>
          </w:tcPr>
          <w:p w:rsidR="001F678C" w:rsidRPr="00223528" w:rsidRDefault="001F678C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2.6.</w:t>
            </w:r>
          </w:p>
        </w:tc>
        <w:tc>
          <w:tcPr>
            <w:tcW w:w="9162" w:type="dxa"/>
          </w:tcPr>
          <w:p w:rsidR="001F678C" w:rsidRPr="00223528" w:rsidRDefault="001F678C" w:rsidP="005B10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678C" w:rsidRPr="00223528" w:rsidTr="00A15EFA">
        <w:tc>
          <w:tcPr>
            <w:tcW w:w="828" w:type="dxa"/>
          </w:tcPr>
          <w:p w:rsidR="001F678C" w:rsidRPr="00223528" w:rsidRDefault="001F678C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...</w:t>
            </w:r>
          </w:p>
        </w:tc>
        <w:tc>
          <w:tcPr>
            <w:tcW w:w="9162" w:type="dxa"/>
          </w:tcPr>
          <w:p w:rsidR="001F678C" w:rsidRPr="00223528" w:rsidRDefault="001F678C" w:rsidP="005B10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112B" w:rsidRPr="00223528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7D112B" w:rsidRPr="00223528" w:rsidRDefault="002D7931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7D112B" w:rsidRPr="00223528" w:rsidRDefault="00AA34AE" w:rsidP="005A19F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Текући трошкови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2"/>
              </w:rPr>
              <w:t>тр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2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2"/>
              </w:rPr>
              <w:t xml:space="preserve">комуникације,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2"/>
              </w:rPr>
              <w:t>ел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2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2"/>
              </w:rPr>
              <w:t xml:space="preserve">енергије, канцеларијски материјал,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2"/>
              </w:rPr>
              <w:t>тр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2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2"/>
              </w:rPr>
              <w:t>провизиј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2"/>
                <w:lang w:val="sr-Cyrl-RS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2"/>
              </w:rPr>
              <w:t>птт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2"/>
              </w:rPr>
              <w:t xml:space="preserve"> трошкови...)</w:t>
            </w:r>
          </w:p>
        </w:tc>
      </w:tr>
      <w:tr w:rsidR="00B608BA" w:rsidRPr="00223528" w:rsidTr="00B608BA">
        <w:trPr>
          <w:trHeight w:val="491"/>
        </w:trPr>
        <w:tc>
          <w:tcPr>
            <w:tcW w:w="828" w:type="dxa"/>
            <w:shd w:val="clear" w:color="auto" w:fill="auto"/>
            <w:vAlign w:val="center"/>
          </w:tcPr>
          <w:p w:rsidR="00B608BA" w:rsidRPr="00223528" w:rsidRDefault="00B608BA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162" w:type="dxa"/>
            <w:shd w:val="clear" w:color="auto" w:fill="auto"/>
            <w:vAlign w:val="center"/>
          </w:tcPr>
          <w:p w:rsidR="00B608BA" w:rsidRPr="00223528" w:rsidRDefault="00B608BA" w:rsidP="000E6316">
            <w:pPr>
              <w:jc w:val="both"/>
              <w:rPr>
                <w:rFonts w:ascii="Times New Roman" w:hAnsi="Times New Roman"/>
                <w:sz w:val="24"/>
                <w:szCs w:val="22"/>
                <w:lang w:val="sr-Cyrl-RS"/>
              </w:rPr>
            </w:pPr>
            <w:r w:rsidRPr="006F0E3E">
              <w:rPr>
                <w:rFonts w:ascii="Times New Roman" w:hAnsi="Times New Roman"/>
                <w:sz w:val="22"/>
                <w:szCs w:val="22"/>
                <w:lang w:val="sr-Cyrl-RS"/>
              </w:rPr>
              <w:t>Текући трошкови</w:t>
            </w:r>
            <w:r w:rsidR="00A85B18" w:rsidRPr="006F0E3E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настали у месецима реализације </w:t>
            </w:r>
            <w:r w:rsidRPr="006F0E3E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пројекта, који посредно омогућавају његову реализацију - </w:t>
            </w:r>
            <w:proofErr w:type="spellStart"/>
            <w:r w:rsidRPr="006F0E3E">
              <w:rPr>
                <w:rFonts w:ascii="Times New Roman" w:hAnsi="Times New Roman"/>
                <w:sz w:val="22"/>
                <w:szCs w:val="22"/>
                <w:lang w:val="sr-Cyrl-RS"/>
              </w:rPr>
              <w:t>тр</w:t>
            </w:r>
            <w:proofErr w:type="spellEnd"/>
            <w:r w:rsidRPr="006F0E3E">
              <w:rPr>
                <w:rFonts w:ascii="Times New Roman" w:hAnsi="Times New Roman"/>
                <w:sz w:val="22"/>
                <w:szCs w:val="22"/>
                <w:lang w:val="sr-Cyrl-RS"/>
              </w:rPr>
              <w:t>. комуникације, интернета, канцеларијског материјала, и сл.)</w:t>
            </w:r>
          </w:p>
        </w:tc>
      </w:tr>
      <w:tr w:rsidR="007D112B" w:rsidRPr="00223528" w:rsidTr="00127EF2">
        <w:tc>
          <w:tcPr>
            <w:tcW w:w="828" w:type="dxa"/>
          </w:tcPr>
          <w:p w:rsidR="007D112B" w:rsidRPr="00223528" w:rsidRDefault="00BD53C1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9162" w:type="dxa"/>
          </w:tcPr>
          <w:p w:rsidR="007D112B" w:rsidRPr="00223528" w:rsidRDefault="007D112B" w:rsidP="00127E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112B" w:rsidRPr="00223528" w:rsidTr="00127EF2">
        <w:tc>
          <w:tcPr>
            <w:tcW w:w="828" w:type="dxa"/>
          </w:tcPr>
          <w:p w:rsidR="007D112B" w:rsidRPr="00223528" w:rsidRDefault="00BD53C1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9162" w:type="dxa"/>
          </w:tcPr>
          <w:p w:rsidR="007D112B" w:rsidRPr="00223528" w:rsidRDefault="007D112B" w:rsidP="00127E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50FA" w:rsidRPr="00223528" w:rsidTr="008C4FEE">
        <w:tc>
          <w:tcPr>
            <w:tcW w:w="828" w:type="dxa"/>
            <w:tcBorders>
              <w:bottom w:val="single" w:sz="4" w:space="0" w:color="000000"/>
            </w:tcBorders>
          </w:tcPr>
          <w:p w:rsidR="00B150FA" w:rsidRPr="00223528" w:rsidRDefault="001F678C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3.3.</w:t>
            </w:r>
          </w:p>
        </w:tc>
        <w:tc>
          <w:tcPr>
            <w:tcW w:w="9162" w:type="dxa"/>
            <w:tcBorders>
              <w:bottom w:val="single" w:sz="4" w:space="0" w:color="000000"/>
            </w:tcBorders>
          </w:tcPr>
          <w:p w:rsidR="00B150FA" w:rsidRPr="00223528" w:rsidRDefault="00B150FA" w:rsidP="00127E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678C" w:rsidRPr="00223528" w:rsidTr="008C4FEE">
        <w:tc>
          <w:tcPr>
            <w:tcW w:w="828" w:type="dxa"/>
            <w:tcBorders>
              <w:bottom w:val="single" w:sz="4" w:space="0" w:color="000000"/>
            </w:tcBorders>
          </w:tcPr>
          <w:p w:rsidR="001F678C" w:rsidRPr="00223528" w:rsidRDefault="001F678C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3.4.</w:t>
            </w:r>
          </w:p>
        </w:tc>
        <w:tc>
          <w:tcPr>
            <w:tcW w:w="9162" w:type="dxa"/>
            <w:tcBorders>
              <w:bottom w:val="single" w:sz="4" w:space="0" w:color="000000"/>
            </w:tcBorders>
          </w:tcPr>
          <w:p w:rsidR="001F678C" w:rsidRPr="00223528" w:rsidRDefault="001F678C" w:rsidP="00127E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678C" w:rsidRPr="00223528" w:rsidTr="008C4FEE">
        <w:tc>
          <w:tcPr>
            <w:tcW w:w="828" w:type="dxa"/>
            <w:tcBorders>
              <w:bottom w:val="single" w:sz="4" w:space="0" w:color="000000"/>
            </w:tcBorders>
          </w:tcPr>
          <w:p w:rsidR="001F678C" w:rsidRPr="00223528" w:rsidRDefault="001F678C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...</w:t>
            </w:r>
          </w:p>
        </w:tc>
        <w:tc>
          <w:tcPr>
            <w:tcW w:w="9162" w:type="dxa"/>
            <w:tcBorders>
              <w:bottom w:val="single" w:sz="4" w:space="0" w:color="000000"/>
            </w:tcBorders>
          </w:tcPr>
          <w:p w:rsidR="001F678C" w:rsidRPr="00223528" w:rsidRDefault="001F678C" w:rsidP="00127E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1B1E" w:rsidRPr="00223528" w:rsidTr="003A5E7E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CE1B1E" w:rsidRPr="00223528" w:rsidRDefault="00CE1B1E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CE1B1E" w:rsidRPr="00223528" w:rsidRDefault="00AA34AE" w:rsidP="007F620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2"/>
              </w:rPr>
              <w:t>Непредвиђени трошкови 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2"/>
                <w:lang w:val="sr-Cyrl-RS"/>
              </w:rPr>
              <w:t>до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2"/>
              </w:rPr>
              <w:t xml:space="preserve"> 3% укупних трошкова)  </w:t>
            </w:r>
          </w:p>
        </w:tc>
      </w:tr>
      <w:tr w:rsidR="00CE1B1E" w:rsidRPr="00223528" w:rsidTr="003A5E7E">
        <w:tc>
          <w:tcPr>
            <w:tcW w:w="828" w:type="dxa"/>
          </w:tcPr>
          <w:p w:rsidR="00CE1B1E" w:rsidRPr="00223528" w:rsidRDefault="00CE1B1E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62" w:type="dxa"/>
          </w:tcPr>
          <w:p w:rsidR="00CE1B1E" w:rsidRPr="00EA5099" w:rsidRDefault="00B608BA" w:rsidP="003A5E7E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85B18">
              <w:rPr>
                <w:rFonts w:ascii="Times New Roman" w:hAnsi="Times New Roman"/>
                <w:sz w:val="22"/>
                <w:szCs w:val="22"/>
                <w:lang w:val="sr-Cyrl-RS"/>
              </w:rPr>
              <w:t>У оквиру ових трошкова могуће је планирати непредвиђене трошкове кој</w:t>
            </w:r>
            <w:r w:rsidR="00A85B18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и се током реализације </w:t>
            </w:r>
            <w:r w:rsidRPr="00A85B18">
              <w:rPr>
                <w:rFonts w:ascii="Times New Roman" w:hAnsi="Times New Roman"/>
                <w:sz w:val="22"/>
                <w:szCs w:val="22"/>
                <w:lang w:val="sr-Cyrl-RS"/>
              </w:rPr>
              <w:t>пројекта могу користити уз накнадно добијену сагласност Министарства за људска и мањинска права и друштвени дијалог. Вредност ових трошкова може бити до 3% на износ укупне вредности трошкова добијене као збир трошкова управљања и админ</w:t>
            </w:r>
            <w:r w:rsidR="00A85B18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истрације, трошкова </w:t>
            </w:r>
            <w:r w:rsidRPr="00A85B18">
              <w:rPr>
                <w:rFonts w:ascii="Times New Roman" w:hAnsi="Times New Roman"/>
                <w:sz w:val="22"/>
                <w:szCs w:val="22"/>
                <w:lang w:val="sr-Cyrl-RS"/>
              </w:rPr>
              <w:t>пројектних активно</w:t>
            </w:r>
            <w:r w:rsidR="00A85B18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сти и текућих трошкова </w:t>
            </w:r>
            <w:r w:rsidRPr="00A85B18">
              <w:rPr>
                <w:rFonts w:ascii="Times New Roman" w:hAnsi="Times New Roman"/>
                <w:sz w:val="22"/>
                <w:szCs w:val="22"/>
                <w:lang w:val="sr-Cyrl-RS"/>
              </w:rPr>
              <w:t>пројеката)</w:t>
            </w:r>
            <w:r w:rsidRPr="00A85B18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  <w:p w:rsidR="00421E88" w:rsidRPr="00223528" w:rsidRDefault="00421E88" w:rsidP="003A5E7E">
            <w:pPr>
              <w:jc w:val="both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  <w:p w:rsidR="00421E88" w:rsidRPr="00223528" w:rsidRDefault="00421E88" w:rsidP="003A5E7E">
            <w:pPr>
              <w:jc w:val="both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  <w:p w:rsidR="00421E88" w:rsidRPr="00223528" w:rsidRDefault="00421E88" w:rsidP="003A5E7E">
            <w:pPr>
              <w:jc w:val="both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DA218E" w:rsidRPr="001F678C" w:rsidTr="00421E88">
        <w:trPr>
          <w:trHeight w:val="430"/>
        </w:trPr>
        <w:tc>
          <w:tcPr>
            <w:tcW w:w="828" w:type="dxa"/>
            <w:shd w:val="clear" w:color="auto" w:fill="EAF1DD"/>
          </w:tcPr>
          <w:p w:rsidR="00DA218E" w:rsidRPr="00223528" w:rsidRDefault="00B608BA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9162" w:type="dxa"/>
            <w:shd w:val="clear" w:color="auto" w:fill="EAF1DD"/>
          </w:tcPr>
          <w:p w:rsidR="00DA218E" w:rsidRPr="0084560D" w:rsidRDefault="00B608BA" w:rsidP="002E206E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Трошкови ревизије </w:t>
            </w:r>
            <w:r>
              <w:rPr>
                <w:rFonts w:ascii="Times New Roman" w:hAnsi="Times New Roman"/>
                <w:b/>
                <w:sz w:val="22"/>
                <w:szCs w:val="22"/>
                <w:lang w:val="sr-Cyrl-RS"/>
              </w:rPr>
              <w:t>(до 5% укупних трошкова)</w:t>
            </w:r>
          </w:p>
        </w:tc>
      </w:tr>
      <w:tr w:rsidR="00B608BA" w:rsidRPr="001F678C" w:rsidTr="00EA5665">
        <w:tc>
          <w:tcPr>
            <w:tcW w:w="828" w:type="dxa"/>
          </w:tcPr>
          <w:p w:rsidR="00B608BA" w:rsidRPr="00FB78F1" w:rsidRDefault="00B608BA" w:rsidP="00B150FA">
            <w:pPr>
              <w:jc w:val="right"/>
              <w:rPr>
                <w:rFonts w:ascii="Times New Roman" w:hAnsi="Times New Roman"/>
                <w:color w:val="C2D69B"/>
                <w:sz w:val="22"/>
                <w:szCs w:val="22"/>
              </w:rPr>
            </w:pPr>
          </w:p>
        </w:tc>
        <w:tc>
          <w:tcPr>
            <w:tcW w:w="9162" w:type="dxa"/>
          </w:tcPr>
          <w:p w:rsidR="00B608BA" w:rsidRPr="00EA5099" w:rsidRDefault="00B608BA" w:rsidP="00DA218E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85B18">
              <w:rPr>
                <w:rFonts w:ascii="Times New Roman" w:hAnsi="Times New Roman"/>
                <w:sz w:val="22"/>
                <w:szCs w:val="22"/>
                <w:lang w:val="sr-Cyrl-RS"/>
              </w:rPr>
              <w:t>Ови трошкови такође се покривају из буџета одобрених средстава. Њихова висина не сме прећи 5% од укупне вредности средстава пл</w:t>
            </w:r>
            <w:r w:rsidR="00A85B18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аниране за реализацију </w:t>
            </w:r>
            <w:r w:rsidRPr="00A85B18">
              <w:rPr>
                <w:rFonts w:ascii="Times New Roman" w:hAnsi="Times New Roman"/>
                <w:sz w:val="22"/>
                <w:szCs w:val="22"/>
                <w:lang w:val="sr-Cyrl-RS"/>
              </w:rPr>
              <w:t>пројекта, тј. вредност овог трошка је 5% на износ укупне вредности трошкова добијене као збир трошкова управљања и админ</w:t>
            </w:r>
            <w:r w:rsidR="00A85B18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истрације, трошкова </w:t>
            </w:r>
            <w:r w:rsidRPr="00A85B18">
              <w:rPr>
                <w:rFonts w:ascii="Times New Roman" w:hAnsi="Times New Roman"/>
                <w:sz w:val="22"/>
                <w:szCs w:val="22"/>
                <w:lang w:val="sr-Cyrl-RS"/>
              </w:rPr>
              <w:t>пројектних активн</w:t>
            </w:r>
            <w:r w:rsidR="00A85B18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ости, текућих трошкова </w:t>
            </w:r>
            <w:r w:rsidRPr="00A85B18">
              <w:rPr>
                <w:rFonts w:ascii="Times New Roman" w:hAnsi="Times New Roman"/>
                <w:sz w:val="22"/>
                <w:szCs w:val="22"/>
                <w:lang w:val="sr-Cyrl-RS"/>
              </w:rPr>
              <w:t>пројекта и непредвиђених трошкова (уколико су они планирани)</w:t>
            </w:r>
            <w:r w:rsidRPr="00A85B18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  <w:p w:rsidR="00421E88" w:rsidRDefault="00421E88" w:rsidP="00DA218E">
            <w:pPr>
              <w:jc w:val="both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  <w:p w:rsidR="00421E88" w:rsidRDefault="00421E88" w:rsidP="00DA218E">
            <w:pPr>
              <w:jc w:val="both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bookmarkStart w:id="0" w:name="_GoBack"/>
            <w:bookmarkEnd w:id="0"/>
          </w:p>
          <w:p w:rsidR="00421E88" w:rsidRDefault="00421E88" w:rsidP="00DA218E">
            <w:pPr>
              <w:jc w:val="both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  <w:p w:rsidR="00421E88" w:rsidRPr="00B608BA" w:rsidRDefault="00421E88" w:rsidP="00DA218E">
            <w:pPr>
              <w:jc w:val="both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B608BA" w:rsidRPr="001F678C" w:rsidTr="00543E12">
        <w:tc>
          <w:tcPr>
            <w:tcW w:w="828" w:type="dxa"/>
            <w:shd w:val="clear" w:color="auto" w:fill="EAF1DD"/>
          </w:tcPr>
          <w:p w:rsidR="00B608BA" w:rsidRPr="00DB7D78" w:rsidRDefault="00DB7D78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9162" w:type="dxa"/>
            <w:shd w:val="clear" w:color="auto" w:fill="EAF1DD"/>
          </w:tcPr>
          <w:p w:rsidR="00B608BA" w:rsidRPr="00A85B18" w:rsidRDefault="00A85B18" w:rsidP="002E206E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RS"/>
              </w:rPr>
              <w:t xml:space="preserve">УКУПНА ВРЕДНОСТ </w:t>
            </w:r>
            <w:r w:rsidR="00DB7D78" w:rsidRPr="00A85B18">
              <w:rPr>
                <w:rFonts w:ascii="Times New Roman" w:hAnsi="Times New Roman"/>
                <w:b/>
                <w:sz w:val="22"/>
                <w:szCs w:val="22"/>
                <w:lang w:val="sr-Cyrl-RS"/>
              </w:rPr>
              <w:t>ПРОЈЕКТА ИЗРАЖЕНА У РСД</w:t>
            </w:r>
          </w:p>
        </w:tc>
      </w:tr>
      <w:tr w:rsidR="00B608BA" w:rsidRPr="001F678C" w:rsidTr="00EA5665">
        <w:tc>
          <w:tcPr>
            <w:tcW w:w="828" w:type="dxa"/>
          </w:tcPr>
          <w:p w:rsidR="00B608BA" w:rsidRDefault="00B608BA" w:rsidP="00B150FA">
            <w:pPr>
              <w:jc w:val="right"/>
              <w:rPr>
                <w:rFonts w:ascii="Times New Roman" w:hAnsi="Times New Roman"/>
                <w:color w:val="C2D69B"/>
                <w:sz w:val="22"/>
                <w:szCs w:val="22"/>
                <w:lang w:val="sr-Cyrl-RS"/>
              </w:rPr>
            </w:pPr>
          </w:p>
          <w:p w:rsidR="00B608BA" w:rsidRPr="00B608BA" w:rsidRDefault="00B608BA" w:rsidP="00B150FA">
            <w:pPr>
              <w:jc w:val="right"/>
              <w:rPr>
                <w:rFonts w:ascii="Times New Roman" w:hAnsi="Times New Roman"/>
                <w:color w:val="C2D69B"/>
                <w:sz w:val="22"/>
                <w:szCs w:val="22"/>
                <w:lang w:val="sr-Cyrl-RS"/>
              </w:rPr>
            </w:pPr>
          </w:p>
        </w:tc>
        <w:tc>
          <w:tcPr>
            <w:tcW w:w="9162" w:type="dxa"/>
          </w:tcPr>
          <w:p w:rsidR="00421E88" w:rsidRDefault="00421E88" w:rsidP="00DA218E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r-Cyrl-RS"/>
              </w:rPr>
            </w:pPr>
          </w:p>
          <w:p w:rsidR="00421E88" w:rsidRDefault="00421E88" w:rsidP="00DA218E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r-Cyrl-RS"/>
              </w:rPr>
            </w:pPr>
          </w:p>
          <w:p w:rsidR="00B608BA" w:rsidRDefault="00DB7D78" w:rsidP="00DA218E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RS"/>
              </w:rPr>
              <w:t>____________________ РСД</w:t>
            </w:r>
          </w:p>
          <w:p w:rsidR="00421E88" w:rsidRPr="00421E88" w:rsidRDefault="00421E88" w:rsidP="00DA218E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RS"/>
              </w:rPr>
              <w:t xml:space="preserve">       </w:t>
            </w:r>
            <w:r>
              <w:rPr>
                <w:rFonts w:ascii="Times New Roman" w:hAnsi="Times New Roman"/>
                <w:i/>
                <w:sz w:val="22"/>
                <w:szCs w:val="22"/>
                <w:lang w:val="sr-Cyrl-RS"/>
              </w:rPr>
              <w:t>(уписати износ)</w:t>
            </w:r>
          </w:p>
        </w:tc>
      </w:tr>
    </w:tbl>
    <w:p w:rsidR="006B6DF2" w:rsidRPr="00B85568" w:rsidRDefault="006B6DF2" w:rsidP="00996A64">
      <w:pPr>
        <w:ind w:left="5670"/>
        <w:jc w:val="center"/>
      </w:pPr>
    </w:p>
    <w:p w:rsidR="00145EE2" w:rsidRDefault="00145EE2" w:rsidP="00996A64">
      <w:pPr>
        <w:ind w:left="5670"/>
        <w:jc w:val="center"/>
        <w:rPr>
          <w:lang w:val="sr-Cyrl-RS"/>
        </w:rPr>
      </w:pPr>
    </w:p>
    <w:p w:rsidR="00421E88" w:rsidRDefault="00421E88" w:rsidP="00996A64">
      <w:pPr>
        <w:ind w:left="5670"/>
        <w:jc w:val="center"/>
        <w:rPr>
          <w:lang w:val="sr-Cyrl-RS"/>
        </w:rPr>
      </w:pPr>
    </w:p>
    <w:p w:rsidR="00421E88" w:rsidRPr="00421E88" w:rsidRDefault="00421E88" w:rsidP="00996A64">
      <w:pPr>
        <w:ind w:left="5670"/>
        <w:jc w:val="center"/>
        <w:rPr>
          <w:lang w:val="sr-Cyrl-RS"/>
        </w:rPr>
      </w:pPr>
    </w:p>
    <w:p w:rsidR="00145EE2" w:rsidRPr="00B85568" w:rsidRDefault="00187B08" w:rsidP="00145EE2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4"/>
          <w:lang w:val="ru-RU"/>
        </w:rPr>
        <w:t>Место и датум: __</w:t>
      </w:r>
      <w:r>
        <w:rPr>
          <w:rFonts w:ascii="Times New Roman" w:hAnsi="Times New Roman"/>
          <w:szCs w:val="20"/>
          <w:lang w:val="ru-RU"/>
        </w:rPr>
        <w:t>_________________________</w:t>
      </w:r>
    </w:p>
    <w:p w:rsidR="00421E88" w:rsidRDefault="00421E88" w:rsidP="00145EE2">
      <w:pPr>
        <w:ind w:left="5760"/>
        <w:jc w:val="center"/>
        <w:rPr>
          <w:rFonts w:ascii="Times New Roman" w:hAnsi="Times New Roman"/>
          <w:szCs w:val="20"/>
          <w:lang w:val="ru-RU"/>
        </w:rPr>
      </w:pPr>
    </w:p>
    <w:p w:rsidR="00421E88" w:rsidRDefault="00421E88" w:rsidP="00145EE2">
      <w:pPr>
        <w:ind w:left="5760"/>
        <w:jc w:val="center"/>
        <w:rPr>
          <w:rFonts w:ascii="Times New Roman" w:hAnsi="Times New Roman"/>
          <w:szCs w:val="20"/>
          <w:lang w:val="ru-RU"/>
        </w:rPr>
      </w:pPr>
    </w:p>
    <w:p w:rsidR="00421E88" w:rsidRDefault="00421E88" w:rsidP="00145EE2">
      <w:pPr>
        <w:ind w:left="5760"/>
        <w:jc w:val="center"/>
        <w:rPr>
          <w:rFonts w:ascii="Times New Roman" w:hAnsi="Times New Roman"/>
          <w:szCs w:val="20"/>
          <w:lang w:val="ru-RU"/>
        </w:rPr>
      </w:pPr>
    </w:p>
    <w:p w:rsidR="00617DB4" w:rsidRPr="00187B08" w:rsidRDefault="00421E88" w:rsidP="00421E88">
      <w:pPr>
        <w:ind w:left="4962"/>
        <w:jc w:val="center"/>
        <w:rPr>
          <w:rFonts w:ascii="Times New Roman" w:hAnsi="Times New Roman"/>
          <w:szCs w:val="20"/>
          <w:lang w:val="ru-RU"/>
        </w:rPr>
      </w:pPr>
      <w:r>
        <w:rPr>
          <w:rFonts w:ascii="Times New Roman" w:hAnsi="Times New Roman"/>
          <w:szCs w:val="20"/>
          <w:lang w:val="ru-RU"/>
        </w:rPr>
        <w:t>________________________________________________</w:t>
      </w:r>
    </w:p>
    <w:p w:rsidR="00A93123" w:rsidRPr="005C56FC" w:rsidRDefault="005747AD" w:rsidP="00A93123">
      <w:pPr>
        <w:jc w:val="right"/>
        <w:rPr>
          <w:rFonts w:ascii="Times New Roman" w:hAnsi="Times New Roman"/>
          <w:noProof/>
          <w:sz w:val="24"/>
          <w:lang w:val="sr-Cyrl-RS"/>
        </w:rPr>
      </w:pPr>
      <w:r>
        <w:rPr>
          <w:rFonts w:ascii="Times New Roman" w:hAnsi="Times New Roman"/>
          <w:noProof/>
          <w:sz w:val="24"/>
        </w:rPr>
        <w:t xml:space="preserve">Потпис лица овлашћеног за заступање </w:t>
      </w:r>
      <w:r>
        <w:rPr>
          <w:rFonts w:ascii="Times New Roman" w:hAnsi="Times New Roman"/>
          <w:noProof/>
          <w:sz w:val="24"/>
          <w:lang w:val="sr-Cyrl-RS"/>
        </w:rPr>
        <w:t xml:space="preserve">ОЦД </w:t>
      </w:r>
    </w:p>
    <w:p w:rsidR="00A93123" w:rsidRPr="00B8024B" w:rsidRDefault="005C56FC" w:rsidP="00A93123">
      <w:pPr>
        <w:jc w:val="righ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 и печат </w:t>
      </w:r>
      <w:r>
        <w:rPr>
          <w:rFonts w:ascii="Times New Roman" w:hAnsi="Times New Roman"/>
          <w:sz w:val="24"/>
          <w:szCs w:val="22"/>
          <w:lang w:val="sr-Cyrl-RS"/>
        </w:rPr>
        <w:t>ОЦД</w:t>
      </w:r>
    </w:p>
    <w:p w:rsidR="00996A64" w:rsidRPr="006B6DF2" w:rsidRDefault="00996A64" w:rsidP="00A93123">
      <w:pPr>
        <w:ind w:left="5670"/>
        <w:jc w:val="center"/>
        <w:rPr>
          <w:rFonts w:ascii="Times New Roman" w:hAnsi="Times New Roman"/>
          <w:szCs w:val="20"/>
        </w:rPr>
      </w:pPr>
    </w:p>
    <w:sectPr w:rsidR="00996A64" w:rsidRPr="006B6DF2" w:rsidSect="00DA218E">
      <w:headerReference w:type="default" r:id="rId7"/>
      <w:footerReference w:type="default" r:id="rId8"/>
      <w:pgSz w:w="12240" w:h="15840"/>
      <w:pgMar w:top="993" w:right="1134" w:bottom="0" w:left="1134" w:header="2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AF8" w:rsidRDefault="00800AF8" w:rsidP="00224927">
      <w:r>
        <w:separator/>
      </w:r>
    </w:p>
  </w:endnote>
  <w:endnote w:type="continuationSeparator" w:id="0">
    <w:p w:rsidR="00800AF8" w:rsidRDefault="00800AF8" w:rsidP="0022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C13" w:rsidRDefault="00167C1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F0E3E">
      <w:rPr>
        <w:noProof/>
      </w:rPr>
      <w:t>2</w:t>
    </w:r>
    <w:r>
      <w:rPr>
        <w:noProof/>
      </w:rPr>
      <w:fldChar w:fldCharType="end"/>
    </w:r>
  </w:p>
  <w:p w:rsidR="00167C13" w:rsidRPr="007C7F39" w:rsidRDefault="00167C13" w:rsidP="00167C13">
    <w:pPr>
      <w:pStyle w:val="Textbody"/>
      <w:spacing w:after="0"/>
      <w:jc w:val="center"/>
      <w:rPr>
        <w:sz w:val="20"/>
        <w:szCs w:val="20"/>
        <w:lang w:val="sr-Cyrl-RS"/>
      </w:rPr>
    </w:pPr>
    <w:r w:rsidRPr="007C7F39">
      <w:rPr>
        <w:sz w:val="20"/>
        <w:szCs w:val="20"/>
        <w:lang w:val="sr-Cyrl-RS"/>
      </w:rPr>
      <w:t>Министарство за људска и мањинска права и друштвени дијалог</w:t>
    </w:r>
  </w:p>
  <w:p w:rsidR="00167C13" w:rsidRPr="007C7F39" w:rsidRDefault="00167C13" w:rsidP="00167C13">
    <w:pPr>
      <w:pStyle w:val="Textbody"/>
      <w:spacing w:after="0"/>
      <w:jc w:val="center"/>
      <w:rPr>
        <w:sz w:val="20"/>
        <w:szCs w:val="20"/>
        <w:lang w:val="sr-Cyrl-RS"/>
      </w:rPr>
    </w:pPr>
    <w:r w:rsidRPr="007C7F39">
      <w:rPr>
        <w:sz w:val="20"/>
        <w:szCs w:val="20"/>
        <w:lang w:val="sr-Cyrl-RS"/>
      </w:rPr>
      <w:t xml:space="preserve">Булевар </w:t>
    </w:r>
    <w:proofErr w:type="spellStart"/>
    <w:r w:rsidRPr="007C7F39">
      <w:rPr>
        <w:sz w:val="20"/>
        <w:szCs w:val="20"/>
        <w:lang w:val="sr-Cyrl-RS"/>
      </w:rPr>
      <w:t>Михаjла</w:t>
    </w:r>
    <w:proofErr w:type="spellEnd"/>
    <w:r w:rsidRPr="007C7F39">
      <w:rPr>
        <w:sz w:val="20"/>
        <w:szCs w:val="20"/>
        <w:lang w:val="sr-Cyrl-RS"/>
      </w:rPr>
      <w:t xml:space="preserve"> Пупина 2, 11000 Београд</w:t>
    </w:r>
  </w:p>
  <w:p w:rsidR="00167C13" w:rsidRPr="0072530F" w:rsidRDefault="00167C13" w:rsidP="00167C13">
    <w:pPr>
      <w:pStyle w:val="Textbody"/>
      <w:spacing w:after="0"/>
      <w:jc w:val="center"/>
      <w:rPr>
        <w:sz w:val="20"/>
        <w:szCs w:val="20"/>
      </w:rPr>
    </w:pPr>
    <w:r w:rsidRPr="007C7F39">
      <w:rPr>
        <w:sz w:val="20"/>
        <w:szCs w:val="20"/>
        <w:lang w:val="sr-Cyrl-RS"/>
      </w:rPr>
      <w:t>телефон: +381 (0)11 311 4528</w:t>
    </w:r>
    <w:r>
      <w:rPr>
        <w:sz w:val="20"/>
        <w:szCs w:val="20"/>
      </w:rPr>
      <w:t xml:space="preserve"> e-ma</w:t>
    </w:r>
    <w:r w:rsidRPr="00933B69">
      <w:rPr>
        <w:sz w:val="20"/>
        <w:szCs w:val="20"/>
      </w:rPr>
      <w:t xml:space="preserve">il: </w:t>
    </w:r>
    <w:hyperlink r:id="rId1" w:history="1">
      <w:r w:rsidRPr="00933B69">
        <w:rPr>
          <w:rStyle w:val="Hyperlink"/>
          <w:color w:val="auto"/>
          <w:sz w:val="20"/>
          <w:szCs w:val="20"/>
          <w:u w:val="none"/>
        </w:rPr>
        <w:t>kabinet@minljmpdd.gov.rs</w:t>
      </w:r>
    </w:hyperlink>
  </w:p>
  <w:p w:rsidR="008F0953" w:rsidRPr="006B6DF2" w:rsidRDefault="008F0953" w:rsidP="00C4323F">
    <w:pPr>
      <w:jc w:val="both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AF8" w:rsidRDefault="00800AF8" w:rsidP="00224927">
      <w:r>
        <w:separator/>
      </w:r>
    </w:p>
  </w:footnote>
  <w:footnote w:type="continuationSeparator" w:id="0">
    <w:p w:rsidR="00800AF8" w:rsidRDefault="00800AF8" w:rsidP="0022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15" w:rsidRPr="009B53E6" w:rsidRDefault="00C75F23" w:rsidP="00752015">
    <w:pPr>
      <w:pStyle w:val="Header"/>
      <w:jc w:val="center"/>
      <w:rPr>
        <w:rFonts w:ascii="Times New Roman" w:hAnsi="Times New Roman"/>
        <w:b/>
        <w:sz w:val="24"/>
        <w:lang w:val="sr-Latn-RS"/>
      </w:rPr>
    </w:pPr>
    <w:r>
      <w:rPr>
        <w:rFonts w:ascii="Times New Roman" w:hAnsi="Times New Roman"/>
        <w:sz w:val="24"/>
        <w:lang w:val="sr-Cyrl-RS"/>
      </w:rPr>
      <w:t>Јавни конкурс</w:t>
    </w:r>
    <w:r>
      <w:rPr>
        <w:rFonts w:ascii="Times New Roman" w:hAnsi="Times New Roman"/>
        <w:sz w:val="24"/>
        <w:lang w:val="sr-Latn-RS"/>
      </w:rPr>
      <w:t xml:space="preserve"> </w:t>
    </w:r>
    <w:r>
      <w:rPr>
        <w:rFonts w:ascii="Times New Roman" w:hAnsi="Times New Roman"/>
        <w:sz w:val="24"/>
        <w:lang w:val="sr-Cyrl-RS"/>
      </w:rPr>
      <w:t xml:space="preserve">за подизање </w:t>
    </w:r>
    <w:r w:rsidR="00752015" w:rsidRPr="00C75F23">
      <w:rPr>
        <w:rFonts w:ascii="Times New Roman" w:hAnsi="Times New Roman"/>
        <w:sz w:val="24"/>
        <w:lang w:val="sr-Cyrl-RS"/>
      </w:rPr>
      <w:t>капацитета организација цивилног друш</w:t>
    </w:r>
    <w:r w:rsidR="00B145B9" w:rsidRPr="00C75F23">
      <w:rPr>
        <w:rFonts w:ascii="Times New Roman" w:hAnsi="Times New Roman"/>
        <w:sz w:val="24"/>
        <w:lang w:val="sr-Cyrl-RS"/>
      </w:rPr>
      <w:t xml:space="preserve">тва за укључивање у законодавни </w:t>
    </w:r>
    <w:r w:rsidR="009B53E6" w:rsidRPr="00C75F23">
      <w:rPr>
        <w:rFonts w:ascii="Times New Roman" w:hAnsi="Times New Roman"/>
        <w:sz w:val="24"/>
        <w:lang w:val="sr-Cyrl-RS"/>
      </w:rPr>
      <w:t>процес</w:t>
    </w:r>
  </w:p>
  <w:p w:rsidR="00167C13" w:rsidRPr="00167C13" w:rsidRDefault="00167C13" w:rsidP="00167C13">
    <w:pPr>
      <w:pStyle w:val="Header"/>
      <w:jc w:val="center"/>
      <w:rPr>
        <w:rFonts w:ascii="Times New Roman" w:hAnsi="Times New Roman"/>
        <w:sz w:val="24"/>
        <w:lang w:val="sr-Cyrl-RS"/>
      </w:rPr>
    </w:pPr>
  </w:p>
  <w:p w:rsidR="00AA34AE" w:rsidRDefault="00AA34AE" w:rsidP="00224927">
    <w:pPr>
      <w:pStyle w:val="Header"/>
      <w:jc w:val="center"/>
      <w:rPr>
        <w:rFonts w:ascii="Times New Roman" w:hAnsi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27"/>
    <w:rsid w:val="00026482"/>
    <w:rsid w:val="00026970"/>
    <w:rsid w:val="00030051"/>
    <w:rsid w:val="000517D7"/>
    <w:rsid w:val="0006179A"/>
    <w:rsid w:val="0007469B"/>
    <w:rsid w:val="000B2FBC"/>
    <w:rsid w:val="000B76B2"/>
    <w:rsid w:val="000C379B"/>
    <w:rsid w:val="000C66C0"/>
    <w:rsid w:val="000D5311"/>
    <w:rsid w:val="000E6316"/>
    <w:rsid w:val="000E66A8"/>
    <w:rsid w:val="000F52F4"/>
    <w:rsid w:val="00115E37"/>
    <w:rsid w:val="00122B60"/>
    <w:rsid w:val="00127EF2"/>
    <w:rsid w:val="00145EE2"/>
    <w:rsid w:val="00156369"/>
    <w:rsid w:val="00167C13"/>
    <w:rsid w:val="00173261"/>
    <w:rsid w:val="00187B08"/>
    <w:rsid w:val="001A3A98"/>
    <w:rsid w:val="001C43A6"/>
    <w:rsid w:val="001F678C"/>
    <w:rsid w:val="00206250"/>
    <w:rsid w:val="002158F7"/>
    <w:rsid w:val="00223528"/>
    <w:rsid w:val="00224927"/>
    <w:rsid w:val="00255212"/>
    <w:rsid w:val="00273D9A"/>
    <w:rsid w:val="00274D97"/>
    <w:rsid w:val="00274EBC"/>
    <w:rsid w:val="00276F38"/>
    <w:rsid w:val="002924C2"/>
    <w:rsid w:val="002979F5"/>
    <w:rsid w:val="002B76CB"/>
    <w:rsid w:val="002D5F3E"/>
    <w:rsid w:val="002D7931"/>
    <w:rsid w:val="002E206E"/>
    <w:rsid w:val="002E5BCA"/>
    <w:rsid w:val="002F1CE8"/>
    <w:rsid w:val="0031430D"/>
    <w:rsid w:val="00315ECD"/>
    <w:rsid w:val="00322936"/>
    <w:rsid w:val="00334CFC"/>
    <w:rsid w:val="00337509"/>
    <w:rsid w:val="003632B0"/>
    <w:rsid w:val="003A1601"/>
    <w:rsid w:val="003A583D"/>
    <w:rsid w:val="003A5E7E"/>
    <w:rsid w:val="003A6952"/>
    <w:rsid w:val="003B5D51"/>
    <w:rsid w:val="003B6F8D"/>
    <w:rsid w:val="003C1A4F"/>
    <w:rsid w:val="003F5393"/>
    <w:rsid w:val="003F55C3"/>
    <w:rsid w:val="00421E88"/>
    <w:rsid w:val="00444220"/>
    <w:rsid w:val="00452717"/>
    <w:rsid w:val="004861A3"/>
    <w:rsid w:val="004870E7"/>
    <w:rsid w:val="00487444"/>
    <w:rsid w:val="004A0409"/>
    <w:rsid w:val="004D655B"/>
    <w:rsid w:val="004E07C2"/>
    <w:rsid w:val="005000A7"/>
    <w:rsid w:val="00510D46"/>
    <w:rsid w:val="00511B80"/>
    <w:rsid w:val="00514AFE"/>
    <w:rsid w:val="005221BB"/>
    <w:rsid w:val="00543E12"/>
    <w:rsid w:val="00550A47"/>
    <w:rsid w:val="00553080"/>
    <w:rsid w:val="00565CE4"/>
    <w:rsid w:val="005747AD"/>
    <w:rsid w:val="00582011"/>
    <w:rsid w:val="00596D8B"/>
    <w:rsid w:val="005A19FA"/>
    <w:rsid w:val="005A2256"/>
    <w:rsid w:val="005A7A75"/>
    <w:rsid w:val="005B1045"/>
    <w:rsid w:val="005B505E"/>
    <w:rsid w:val="005B57AA"/>
    <w:rsid w:val="005B629E"/>
    <w:rsid w:val="005C0D70"/>
    <w:rsid w:val="005C4F22"/>
    <w:rsid w:val="005C56FC"/>
    <w:rsid w:val="005D5477"/>
    <w:rsid w:val="005E0978"/>
    <w:rsid w:val="005E69E5"/>
    <w:rsid w:val="005F0239"/>
    <w:rsid w:val="005F46BF"/>
    <w:rsid w:val="005F6F8E"/>
    <w:rsid w:val="006117A9"/>
    <w:rsid w:val="00617DB4"/>
    <w:rsid w:val="006253E1"/>
    <w:rsid w:val="00626066"/>
    <w:rsid w:val="00626697"/>
    <w:rsid w:val="00636526"/>
    <w:rsid w:val="00636E63"/>
    <w:rsid w:val="00640735"/>
    <w:rsid w:val="00641B72"/>
    <w:rsid w:val="00654269"/>
    <w:rsid w:val="00664862"/>
    <w:rsid w:val="00682EDB"/>
    <w:rsid w:val="006A398A"/>
    <w:rsid w:val="006B6DF2"/>
    <w:rsid w:val="006E1620"/>
    <w:rsid w:val="006F0E3E"/>
    <w:rsid w:val="00706714"/>
    <w:rsid w:val="00716F78"/>
    <w:rsid w:val="00725F14"/>
    <w:rsid w:val="00741ACE"/>
    <w:rsid w:val="00752015"/>
    <w:rsid w:val="007522F0"/>
    <w:rsid w:val="00754517"/>
    <w:rsid w:val="00754E51"/>
    <w:rsid w:val="00762D07"/>
    <w:rsid w:val="007A0540"/>
    <w:rsid w:val="007A2875"/>
    <w:rsid w:val="007A4FF0"/>
    <w:rsid w:val="007A7E5B"/>
    <w:rsid w:val="007C48CC"/>
    <w:rsid w:val="007D112B"/>
    <w:rsid w:val="007E188B"/>
    <w:rsid w:val="007F3BCE"/>
    <w:rsid w:val="007F6206"/>
    <w:rsid w:val="00800AF8"/>
    <w:rsid w:val="00805B1B"/>
    <w:rsid w:val="00807EFE"/>
    <w:rsid w:val="00824035"/>
    <w:rsid w:val="0082489E"/>
    <w:rsid w:val="0084560D"/>
    <w:rsid w:val="00860C95"/>
    <w:rsid w:val="00867BFF"/>
    <w:rsid w:val="00877CA7"/>
    <w:rsid w:val="00883FAB"/>
    <w:rsid w:val="00885C61"/>
    <w:rsid w:val="00895ED5"/>
    <w:rsid w:val="00897EF0"/>
    <w:rsid w:val="008B0AD6"/>
    <w:rsid w:val="008C10F6"/>
    <w:rsid w:val="008C4FEE"/>
    <w:rsid w:val="008D29EA"/>
    <w:rsid w:val="008E6F50"/>
    <w:rsid w:val="008F0953"/>
    <w:rsid w:val="009116F8"/>
    <w:rsid w:val="00915364"/>
    <w:rsid w:val="0092635E"/>
    <w:rsid w:val="00931E32"/>
    <w:rsid w:val="00996A64"/>
    <w:rsid w:val="009B53E6"/>
    <w:rsid w:val="009C0680"/>
    <w:rsid w:val="009D0077"/>
    <w:rsid w:val="009D3D3F"/>
    <w:rsid w:val="00A15EFA"/>
    <w:rsid w:val="00A25BC7"/>
    <w:rsid w:val="00A57C9A"/>
    <w:rsid w:val="00A85B18"/>
    <w:rsid w:val="00A93123"/>
    <w:rsid w:val="00AA18E8"/>
    <w:rsid w:val="00AA34AE"/>
    <w:rsid w:val="00AA4150"/>
    <w:rsid w:val="00AC568C"/>
    <w:rsid w:val="00AC5EDF"/>
    <w:rsid w:val="00AD5544"/>
    <w:rsid w:val="00AD74CE"/>
    <w:rsid w:val="00AF66B8"/>
    <w:rsid w:val="00B04D7C"/>
    <w:rsid w:val="00B145B9"/>
    <w:rsid w:val="00B1480D"/>
    <w:rsid w:val="00B150FA"/>
    <w:rsid w:val="00B174C5"/>
    <w:rsid w:val="00B40FCD"/>
    <w:rsid w:val="00B461D9"/>
    <w:rsid w:val="00B56194"/>
    <w:rsid w:val="00B608BA"/>
    <w:rsid w:val="00B65FCD"/>
    <w:rsid w:val="00B828E9"/>
    <w:rsid w:val="00B85568"/>
    <w:rsid w:val="00B91EE9"/>
    <w:rsid w:val="00BA43C6"/>
    <w:rsid w:val="00BB3D7E"/>
    <w:rsid w:val="00BD53C1"/>
    <w:rsid w:val="00BE0AA1"/>
    <w:rsid w:val="00BE5E8B"/>
    <w:rsid w:val="00C03934"/>
    <w:rsid w:val="00C041E0"/>
    <w:rsid w:val="00C11260"/>
    <w:rsid w:val="00C4323F"/>
    <w:rsid w:val="00C44903"/>
    <w:rsid w:val="00C51217"/>
    <w:rsid w:val="00C75F23"/>
    <w:rsid w:val="00CB26D4"/>
    <w:rsid w:val="00CC3A0F"/>
    <w:rsid w:val="00CD1CFC"/>
    <w:rsid w:val="00CD4BDA"/>
    <w:rsid w:val="00CE1B1E"/>
    <w:rsid w:val="00D24959"/>
    <w:rsid w:val="00D278F5"/>
    <w:rsid w:val="00D34BD1"/>
    <w:rsid w:val="00D35158"/>
    <w:rsid w:val="00D57AE4"/>
    <w:rsid w:val="00D62333"/>
    <w:rsid w:val="00DA218E"/>
    <w:rsid w:val="00DB1CD2"/>
    <w:rsid w:val="00DB69F8"/>
    <w:rsid w:val="00DB7D78"/>
    <w:rsid w:val="00DC6F22"/>
    <w:rsid w:val="00DD7C16"/>
    <w:rsid w:val="00E60066"/>
    <w:rsid w:val="00E77DA1"/>
    <w:rsid w:val="00E81830"/>
    <w:rsid w:val="00E92CF5"/>
    <w:rsid w:val="00EA5099"/>
    <w:rsid w:val="00EA5665"/>
    <w:rsid w:val="00EC1A0F"/>
    <w:rsid w:val="00EC76A0"/>
    <w:rsid w:val="00ED74C9"/>
    <w:rsid w:val="00EE786A"/>
    <w:rsid w:val="00F1125F"/>
    <w:rsid w:val="00F125D8"/>
    <w:rsid w:val="00F25CE6"/>
    <w:rsid w:val="00F25EEA"/>
    <w:rsid w:val="00F34566"/>
    <w:rsid w:val="00F41287"/>
    <w:rsid w:val="00F418B4"/>
    <w:rsid w:val="00F66FE0"/>
    <w:rsid w:val="00F915B8"/>
    <w:rsid w:val="00F93AA7"/>
    <w:rsid w:val="00FA06CF"/>
    <w:rsid w:val="00FA25FA"/>
    <w:rsid w:val="00FB78F1"/>
    <w:rsid w:val="00FC30E8"/>
    <w:rsid w:val="00FD22EF"/>
    <w:rsid w:val="00FE5050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9880DF-7BAB-424E-9EDC-4284AFF9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C16"/>
    <w:rPr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927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224927"/>
    <w:rPr>
      <w:rFonts w:cs="Times New Roman"/>
      <w:bCs w:val="0"/>
      <w:sz w:val="20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224927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224927"/>
    <w:rPr>
      <w:rFonts w:cs="Times New Roman"/>
      <w:bCs w:val="0"/>
      <w:sz w:val="20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927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224927"/>
    <w:rPr>
      <w:rFonts w:ascii="Tahoma" w:hAnsi="Tahoma" w:cs="Tahoma"/>
      <w:bCs w:val="0"/>
      <w:sz w:val="16"/>
      <w:szCs w:val="16"/>
      <w:lang w:val="sr-Cyrl-CS"/>
    </w:rPr>
  </w:style>
  <w:style w:type="table" w:styleId="TableGrid">
    <w:name w:val="Table Grid"/>
    <w:basedOn w:val="TableNormal"/>
    <w:uiPriority w:val="59"/>
    <w:rsid w:val="002249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4861A3"/>
    <w:pPr>
      <w:jc w:val="both"/>
    </w:pPr>
    <w:rPr>
      <w:rFonts w:ascii="Times New Roman" w:hAnsi="Times New Roman"/>
      <w:sz w:val="24"/>
      <w:lang w:eastAsia="x-none"/>
    </w:rPr>
  </w:style>
  <w:style w:type="character" w:customStyle="1" w:styleId="BodyTextChar">
    <w:name w:val="Body Text Char"/>
    <w:link w:val="BodyText"/>
    <w:rsid w:val="004861A3"/>
    <w:rPr>
      <w:rFonts w:ascii="Times New Roman" w:hAnsi="Times New Roman"/>
      <w:sz w:val="24"/>
      <w:szCs w:val="24"/>
      <w:lang w:val="sr-Cyrl-CS"/>
    </w:rPr>
  </w:style>
  <w:style w:type="character" w:styleId="Hyperlink">
    <w:name w:val="Hyperlink"/>
    <w:uiPriority w:val="99"/>
    <w:unhideWhenUsed/>
    <w:rsid w:val="00167C13"/>
    <w:rPr>
      <w:color w:val="0000FF"/>
      <w:u w:val="single"/>
    </w:rPr>
  </w:style>
  <w:style w:type="paragraph" w:customStyle="1" w:styleId="Textbody">
    <w:name w:val="Text body"/>
    <w:basedOn w:val="Normal"/>
    <w:rsid w:val="00167C13"/>
    <w:pPr>
      <w:suppressAutoHyphens/>
      <w:autoSpaceDN w:val="0"/>
      <w:spacing w:after="120"/>
      <w:textAlignment w:val="baseline"/>
    </w:pPr>
    <w:rPr>
      <w:rFonts w:ascii="Times New Roman" w:hAnsi="Times New Roman"/>
      <w:kern w:val="3"/>
      <w:sz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4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binet@minljmpdd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E40A8-D02C-4629-A208-454D5070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Narativni budzet-Prilog2a</vt:lpstr>
    </vt:vector>
  </TitlesOfParts>
  <Company/>
  <LinksUpToDate>false</LinksUpToDate>
  <CharactersWithSpaces>2747</CharactersWithSpaces>
  <SharedDoc>false</SharedDoc>
  <HLinks>
    <vt:vector size="6" baseType="variant">
      <vt:variant>
        <vt:i4>7274500</vt:i4>
      </vt:variant>
      <vt:variant>
        <vt:i4>3</vt:i4>
      </vt:variant>
      <vt:variant>
        <vt:i4>0</vt:i4>
      </vt:variant>
      <vt:variant>
        <vt:i4>5</vt:i4>
      </vt:variant>
      <vt:variant>
        <vt:lpwstr>mailto:kabinet@minljmpdd.gov.rs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Narativni budzet-Prilog2a</dc:title>
  <dc:subject>Konkurs</dc:subject>
  <dc:creator>MOS</dc:creator>
  <cp:keywords/>
  <cp:lastModifiedBy>Milena Banović</cp:lastModifiedBy>
  <cp:revision>5</cp:revision>
  <cp:lastPrinted>2026-05-19T06:34:00Z</cp:lastPrinted>
  <dcterms:created xsi:type="dcterms:W3CDTF">2026-05-05T12:28:00Z</dcterms:created>
  <dcterms:modified xsi:type="dcterms:W3CDTF">2026-05-19T09:17:00Z</dcterms:modified>
</cp:coreProperties>
</file>