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913F5" w14:textId="77777777" w:rsidR="009E3EA2" w:rsidRDefault="009E3EA2"/>
    <w:p w14:paraId="556F7E5C" w14:textId="77777777" w:rsidR="003E387C" w:rsidRDefault="003E387C"/>
    <w:p w14:paraId="314F7FE4" w14:textId="77777777" w:rsidR="003E387C" w:rsidRDefault="003E387C"/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918"/>
      </w:tblGrid>
      <w:tr w:rsidR="002D5C1E" w:rsidRPr="00F41CE2" w14:paraId="1CF29476" w14:textId="77777777" w:rsidTr="00A5703F">
        <w:trPr>
          <w:trHeight w:val="1247"/>
        </w:trPr>
        <w:tc>
          <w:tcPr>
            <w:tcW w:w="5918" w:type="dxa"/>
          </w:tcPr>
          <w:p w14:paraId="51EA19F4" w14:textId="77777777" w:rsidR="002D5C1E" w:rsidRPr="00F41CE2" w:rsidRDefault="002D5C1E" w:rsidP="00B93FE0">
            <w:pPr>
              <w:tabs>
                <w:tab w:val="left" w:pos="5760"/>
              </w:tabs>
              <w:spacing w:after="240"/>
              <w:jc w:val="center"/>
              <w:rPr>
                <w:lang w:val="sr-Cyrl-RS"/>
              </w:rPr>
            </w:pPr>
            <w:r w:rsidRPr="00F41CE2"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4486DCF" wp14:editId="69A95A70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109855</wp:posOffset>
                  </wp:positionV>
                  <wp:extent cx="472440" cy="695325"/>
                  <wp:effectExtent l="19050" t="0" r="3810" b="0"/>
                  <wp:wrapSquare wrapText="largest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5C1E" w:rsidRPr="00F41CE2" w14:paraId="3DE2A20A" w14:textId="77777777" w:rsidTr="00A5703F">
        <w:trPr>
          <w:trHeight w:val="2292"/>
        </w:trPr>
        <w:tc>
          <w:tcPr>
            <w:tcW w:w="5918" w:type="dxa"/>
          </w:tcPr>
          <w:p w14:paraId="21363F25" w14:textId="77777777" w:rsidR="003C055E" w:rsidRPr="00AF626C" w:rsidRDefault="007C7F39" w:rsidP="00AF626C">
            <w:pPr>
              <w:jc w:val="center"/>
            </w:pPr>
            <w:r w:rsidRPr="00AF626C">
              <w:t>РЕПУБЛИКА СРБИЈА</w:t>
            </w:r>
          </w:p>
          <w:p w14:paraId="392144D6" w14:textId="77777777" w:rsidR="002D5C1E" w:rsidRPr="00AF626C" w:rsidRDefault="00A5703F" w:rsidP="00AF626C">
            <w:pPr>
              <w:jc w:val="center"/>
            </w:pPr>
            <w:r w:rsidRPr="00AF626C">
              <w:t>МИНИСТАРСТВО ЗА ЉУДСКА И МАЊИНСКА ПРАВА И ДРУШТВЕНИ ДИЈАЛОГ</w:t>
            </w:r>
          </w:p>
          <w:p w14:paraId="4C5A89C7" w14:textId="2F241C3B" w:rsidR="002D5C1E" w:rsidRPr="00AF626C" w:rsidRDefault="002D5C1E" w:rsidP="00AF626C">
            <w:pPr>
              <w:jc w:val="center"/>
            </w:pPr>
            <w:r w:rsidRPr="00AF626C">
              <w:t>Број:</w:t>
            </w:r>
            <w:r w:rsidR="00FD525F">
              <w:t xml:space="preserve"> </w:t>
            </w:r>
            <w:r w:rsidR="00FD525F" w:rsidRPr="005F29CB">
              <w:rPr>
                <w:sz w:val="20"/>
                <w:szCs w:val="20"/>
                <w:shd w:val="clear" w:color="auto" w:fill="FFFFFF"/>
              </w:rPr>
              <w:t>000082137 2026 13410 006 000 051 001 14 026</w:t>
            </w:r>
          </w:p>
          <w:p w14:paraId="48646E6F" w14:textId="5CA720E1" w:rsidR="002D5C1E" w:rsidRPr="000E53F7" w:rsidRDefault="002D5C1E" w:rsidP="00AF626C">
            <w:pPr>
              <w:jc w:val="center"/>
              <w:rPr>
                <w:lang w:val="sr-Cyrl-RS"/>
              </w:rPr>
            </w:pPr>
            <w:r w:rsidRPr="00AF626C">
              <w:t>Дана:</w:t>
            </w:r>
            <w:r w:rsidR="000E53F7">
              <w:rPr>
                <w:lang w:val="sr-Cyrl-RS"/>
              </w:rPr>
              <w:t xml:space="preserve"> 29.04.2026. године</w:t>
            </w:r>
          </w:p>
          <w:p w14:paraId="4FED7BAE" w14:textId="77777777" w:rsidR="002D5C1E" w:rsidRPr="00AF626C" w:rsidRDefault="002D5C1E" w:rsidP="00AF626C">
            <w:pPr>
              <w:jc w:val="center"/>
            </w:pPr>
            <w:r w:rsidRPr="00AF626C">
              <w:t>Булевар Михајла Пупина 2</w:t>
            </w:r>
          </w:p>
          <w:p w14:paraId="64AE9681" w14:textId="77777777" w:rsidR="004C05F6" w:rsidRPr="00AF626C" w:rsidRDefault="002D5C1E" w:rsidP="00AF626C">
            <w:pPr>
              <w:jc w:val="center"/>
            </w:pPr>
            <w:r w:rsidRPr="00AF626C">
              <w:t>Б е о г р а д</w:t>
            </w:r>
          </w:p>
          <w:p w14:paraId="18D0B9F8" w14:textId="77777777" w:rsidR="0025718B" w:rsidRPr="00F41CE2" w:rsidRDefault="0025718B" w:rsidP="00B93FE0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7B102D" w14:textId="77777777" w:rsidR="009931F8" w:rsidRPr="00F41CE2" w:rsidRDefault="009931F8" w:rsidP="00B93FE0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2840D9" w14:textId="77777777" w:rsidR="00D0634B" w:rsidRPr="00F41CE2" w:rsidRDefault="00D0634B" w:rsidP="00B93FE0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4CAF01" w14:textId="77777777" w:rsidR="009931F8" w:rsidRPr="00F41CE2" w:rsidRDefault="009931F8" w:rsidP="00B93FE0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A6F29F5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55A96B0D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5F7CC3C3" w14:textId="77777777" w:rsidR="00D0634B" w:rsidRPr="00F41CE2" w:rsidRDefault="00D0634B" w:rsidP="00B93FE0">
      <w:pPr>
        <w:spacing w:after="240" w:line="276" w:lineRule="auto"/>
        <w:jc w:val="center"/>
        <w:rPr>
          <w:b/>
          <w:lang w:val="sr-Cyrl-RS"/>
        </w:rPr>
      </w:pPr>
      <w:r w:rsidRPr="00F41CE2">
        <w:rPr>
          <w:rFonts w:eastAsia="Times New Roman"/>
          <w:b/>
          <w:kern w:val="0"/>
          <w:lang w:val="sr-Cyrl-RS" w:eastAsia="sr-Cyrl-RS"/>
        </w:rPr>
        <w:t xml:space="preserve">Годишњи извештај о спровођењу Акционог плана за период 2025-2026. године за спровођење Стратегије за стварање подстицајног окружења за развој </w:t>
      </w:r>
      <w:r w:rsidR="00154EAF" w:rsidRPr="00F41CE2">
        <w:rPr>
          <w:rFonts w:eastAsia="Times New Roman"/>
          <w:b/>
          <w:kern w:val="0"/>
          <w:lang w:val="sr-Cyrl-RS" w:eastAsia="sr-Cyrl-RS"/>
        </w:rPr>
        <w:t>цивилног друштва за период 2022</w:t>
      </w:r>
      <w:r w:rsidRPr="00F41CE2">
        <w:rPr>
          <w:rFonts w:eastAsia="Times New Roman"/>
          <w:b/>
          <w:kern w:val="0"/>
          <w:lang w:val="sr-Cyrl-RS" w:eastAsia="sr-Cyrl-RS"/>
        </w:rPr>
        <w:t>-2030 године, за 2025. годину</w:t>
      </w:r>
    </w:p>
    <w:p w14:paraId="506EFB36" w14:textId="77777777" w:rsidR="00D0634B" w:rsidRPr="00F41CE2" w:rsidRDefault="00D0634B" w:rsidP="00F41CE2">
      <w:pPr>
        <w:spacing w:after="240" w:line="276" w:lineRule="auto"/>
        <w:jc w:val="both"/>
        <w:rPr>
          <w:b/>
          <w:lang w:val="sr-Cyrl-RS"/>
        </w:rPr>
      </w:pPr>
    </w:p>
    <w:p w14:paraId="4CA82B9F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6A9E46E7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55130B72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56AAF419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77633B32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34E2DE62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7E7A1AC2" w14:textId="77777777" w:rsidR="00D0634B" w:rsidRPr="00F41CE2" w:rsidRDefault="00D0634B" w:rsidP="00F41CE2">
      <w:pPr>
        <w:spacing w:after="240" w:line="276" w:lineRule="auto"/>
        <w:jc w:val="both"/>
        <w:rPr>
          <w:lang w:val="sr-Cyrl-RS"/>
        </w:rPr>
      </w:pPr>
    </w:p>
    <w:p w14:paraId="2D61776B" w14:textId="77777777" w:rsidR="008E6108" w:rsidRPr="0062398F" w:rsidRDefault="00D0634B" w:rsidP="0062398F">
      <w:pPr>
        <w:pStyle w:val="Heading1"/>
        <w:jc w:val="center"/>
      </w:pPr>
      <w:bookmarkStart w:id="0" w:name="_Toc222911257"/>
      <w:bookmarkStart w:id="1" w:name="_Toc222911360"/>
      <w:r w:rsidRPr="0062398F">
        <w:lastRenderedPageBreak/>
        <w:t>УВОД</w:t>
      </w:r>
      <w:bookmarkEnd w:id="0"/>
      <w:bookmarkEnd w:id="1"/>
    </w:p>
    <w:p w14:paraId="0F2F0FED" w14:textId="77777777" w:rsidR="00BA50BA" w:rsidRPr="00F41CE2" w:rsidRDefault="00BA50BA" w:rsidP="00033689">
      <w:pPr>
        <w:pStyle w:val="NormalWeb"/>
        <w:spacing w:before="0" w:beforeAutospacing="0" w:after="0" w:afterAutospacing="0" w:line="276" w:lineRule="auto"/>
        <w:ind w:firstLine="708"/>
        <w:jc w:val="both"/>
      </w:pPr>
      <w:bookmarkStart w:id="2" w:name="_Toc201908383"/>
      <w:bookmarkStart w:id="3" w:name="_Toc205545698"/>
      <w:bookmarkStart w:id="4" w:name="_Toc209607809"/>
      <w:bookmarkStart w:id="5" w:name="_Toc209608253"/>
      <w:bookmarkStart w:id="6" w:name="_Toc209772814"/>
      <w:r w:rsidRPr="00F41CE2">
        <w:t>Извештај о спровођењу Акционог плана за период 2025–2026. године</w:t>
      </w:r>
      <w:r w:rsidR="00285E88">
        <w:t>,</w:t>
      </w:r>
      <w:r w:rsidRPr="00F41CE2">
        <w:t xml:space="preserve"> за спровођење Стратегије за стварање подстицајног окружења за развој цивилног друштва за период 2022–2030. године (у даљем тексту: </w:t>
      </w:r>
      <w:r w:rsidR="0045311D">
        <w:t>Акциони план</w:t>
      </w:r>
      <w:r w:rsidRPr="00F41CE2">
        <w:t>)</w:t>
      </w:r>
      <w:r w:rsidR="00285E88">
        <w:t xml:space="preserve">, </w:t>
      </w:r>
      <w:r w:rsidRPr="00F41CE2">
        <w:t xml:space="preserve"> за 2025. годину, припремљен је у складу са обавез</w:t>
      </w:r>
      <w:r w:rsidR="00285E88">
        <w:t>ом прописаном чланом 43. став 1)</w:t>
      </w:r>
      <w:r w:rsidRPr="00F41CE2">
        <w:t xml:space="preserve"> тачка </w:t>
      </w:r>
      <w:r w:rsidR="00285E88">
        <w:t>3.</w:t>
      </w:r>
      <w:r w:rsidRPr="00F41CE2">
        <w:t xml:space="preserve"> Закона о планском систему Републике Србије („Службени гласник РС“, бр. 30/2018).</w:t>
      </w:r>
    </w:p>
    <w:p w14:paraId="1B82B896" w14:textId="77777777" w:rsidR="00BA50BA" w:rsidRPr="00F41CE2" w:rsidRDefault="00090D96" w:rsidP="00033689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Циљ извештаја је </w:t>
      </w:r>
      <w:r w:rsidR="00BA50BA" w:rsidRPr="00F41CE2">
        <w:t xml:space="preserve"> да пружи преглед реализације Акционог плана у 2025. години, анализу постигнутих резултата, као и идентификацију изазова и препорука за унапређење даљег рада.</w:t>
      </w:r>
    </w:p>
    <w:p w14:paraId="00F022E5" w14:textId="77777777" w:rsidR="00BA50BA" w:rsidRPr="00F41CE2" w:rsidRDefault="00090D96" w:rsidP="00033689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Извештај је сачињен </w:t>
      </w:r>
      <w:r w:rsidR="00BA50BA" w:rsidRPr="00F41CE2">
        <w:t>на основу података надлежних државних органа, као и информација које је обезбедило Министарство за људска и мањинска права и друштвени дијалог (у даљем тексту: Министарство), што омогућава свеобухватан приказ стања и динамике спровођења мера.</w:t>
      </w:r>
    </w:p>
    <w:p w14:paraId="20CD646B" w14:textId="47B2D07A" w:rsidR="00033689" w:rsidRPr="00033689" w:rsidRDefault="00033689" w:rsidP="00033689">
      <w:pPr>
        <w:spacing w:after="120"/>
        <w:ind w:firstLine="360"/>
        <w:jc w:val="both"/>
        <w:rPr>
          <w:rFonts w:eastAsia="Times New Roman"/>
          <w:color w:val="000000"/>
          <w:lang w:val="sr-Cyrl-RS" w:eastAsia="en-GB"/>
        </w:rPr>
      </w:pPr>
      <w:bookmarkStart w:id="7" w:name="_Toc222911259"/>
      <w:bookmarkStart w:id="8" w:name="_Toc222911362"/>
      <w:bookmarkEnd w:id="2"/>
      <w:bookmarkEnd w:id="3"/>
      <w:bookmarkEnd w:id="4"/>
      <w:bookmarkEnd w:id="5"/>
      <w:bookmarkEnd w:id="6"/>
      <w:r w:rsidRPr="00511CBB">
        <w:rPr>
          <w:rFonts w:eastAsia="Times New Roman"/>
          <w:color w:val="000000"/>
          <w:lang w:val="sr-Cyrl-RS" w:eastAsia="en-GB"/>
        </w:rPr>
        <w:t xml:space="preserve">На реализацију усвојеног стратешког документа за старање подстицаног окружења за развој цивилног друштва у Републици Србији значајно је утицало изостајање очекиване донаторске подршке (очекивана је ЕУ ИПА подршка за спровођење Стратегије за стварање подстицајног окружења за развој цивилног друштва у Републици Србији за период 2022-2030. године) што је условило одлагање реализације појединих активности које су планиране да буду започете током 2025. године. </w:t>
      </w:r>
      <w:r>
        <w:rPr>
          <w:rFonts w:eastAsia="Times New Roman"/>
          <w:color w:val="000000"/>
          <w:lang w:val="sr-Cyrl-RS" w:eastAsia="en-GB"/>
        </w:rPr>
        <w:t xml:space="preserve">Поред наведеног на реализацију планираних активности значјано су утицали </w:t>
      </w:r>
      <w:r w:rsidRPr="00F41CE2">
        <w:t>изазов</w:t>
      </w:r>
      <w:r>
        <w:rPr>
          <w:lang w:val="sr-Cyrl-RS"/>
        </w:rPr>
        <w:t>и</w:t>
      </w:r>
      <w:r w:rsidRPr="00F41CE2">
        <w:t xml:space="preserve"> у изградњи поверења и одрживе сарадње између јавног и цивилног сектора</w:t>
      </w:r>
      <w:r>
        <w:rPr>
          <w:lang w:val="sr-Cyrl-RS"/>
        </w:rPr>
        <w:t>.</w:t>
      </w:r>
    </w:p>
    <w:p w14:paraId="64001336" w14:textId="28D79B29" w:rsidR="00285E88" w:rsidRDefault="00285E88" w:rsidP="00033689">
      <w:pPr>
        <w:pStyle w:val="NormalWeb"/>
        <w:spacing w:after="0" w:afterAutospacing="0" w:line="276" w:lineRule="auto"/>
        <w:ind w:firstLine="708"/>
        <w:jc w:val="both"/>
      </w:pPr>
      <w:r w:rsidRPr="00C7652F">
        <w:t xml:space="preserve">Најзначајнији резултати постигнути су у области </w:t>
      </w:r>
      <w:r w:rsidR="00D83A09">
        <w:t xml:space="preserve">подизање капацитета органа јавне управе за </w:t>
      </w:r>
      <w:r w:rsidRPr="00C7652F">
        <w:t>укључивањ</w:t>
      </w:r>
      <w:r w:rsidR="00D83A09">
        <w:t>е</w:t>
      </w:r>
      <w:r w:rsidRPr="00C7652F">
        <w:t xml:space="preserve"> цивилног с</w:t>
      </w:r>
      <w:r w:rsidR="00D83A09">
        <w:t xml:space="preserve">ектора у процес доношења одлука као и </w:t>
      </w:r>
      <w:r w:rsidRPr="00C7652F">
        <w:t xml:space="preserve"> унапређења транспарентности</w:t>
      </w:r>
      <w:r w:rsidR="00D83A09">
        <w:t xml:space="preserve"> процеса финансирања и подизања капацитета јавне управе за </w:t>
      </w:r>
      <w:r w:rsidR="00033689">
        <w:t>транспарентно</w:t>
      </w:r>
      <w:r w:rsidR="00D83A09">
        <w:t xml:space="preserve"> финансирање организација цивилног друштва из јавних средстава</w:t>
      </w:r>
      <w:r>
        <w:t>.</w:t>
      </w:r>
    </w:p>
    <w:p w14:paraId="72684C75" w14:textId="2E22771A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7B3FF962" w14:textId="2F309EC2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774736AA" w14:textId="0341F841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14DD9588" w14:textId="4070615C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3253E61B" w14:textId="77777777" w:rsidR="00096EC4" w:rsidRDefault="00096EC4" w:rsidP="00033689">
      <w:pPr>
        <w:pStyle w:val="NormalWeb"/>
        <w:spacing w:after="0" w:afterAutospacing="0" w:line="276" w:lineRule="auto"/>
        <w:ind w:firstLine="708"/>
        <w:jc w:val="both"/>
      </w:pPr>
    </w:p>
    <w:p w14:paraId="6D54EB12" w14:textId="77777777" w:rsidR="003F2580" w:rsidRPr="0062398F" w:rsidRDefault="00B93FE0" w:rsidP="0062398F">
      <w:pPr>
        <w:pStyle w:val="Heading1"/>
        <w:jc w:val="center"/>
      </w:pPr>
      <w:r w:rsidRPr="0062398F">
        <w:lastRenderedPageBreak/>
        <w:t>ОПШТИ И ПОСЕБНИ ЦИЉЕВИ</w:t>
      </w:r>
      <w:bookmarkEnd w:id="7"/>
      <w:bookmarkEnd w:id="8"/>
    </w:p>
    <w:p w14:paraId="6DCAF81D" w14:textId="75506C8C" w:rsidR="003700F5" w:rsidRPr="00F41CE2" w:rsidRDefault="00BA50BA" w:rsidP="00F41CE2">
      <w:pPr>
        <w:widowControl/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t xml:space="preserve">Акциони план за период 2025–2026. </w:t>
      </w:r>
      <w:r w:rsidR="0045311D">
        <w:rPr>
          <w:lang w:val="sr-Cyrl-RS"/>
        </w:rPr>
        <w:t>г</w:t>
      </w:r>
      <w:r w:rsidRPr="00F41CE2">
        <w:t>одине</w:t>
      </w:r>
      <w:r w:rsidR="0045311D">
        <w:rPr>
          <w:lang w:val="sr-Cyrl-RS"/>
        </w:rPr>
        <w:t>,</w:t>
      </w:r>
      <w:r w:rsidRPr="00F41CE2">
        <w:t xml:space="preserve"> садржи 70 активности које доприносе остваривању општег циља Стратегије и четири посебна циља</w:t>
      </w:r>
      <w:r w:rsidR="003700F5" w:rsidRPr="00F41CE2">
        <w:rPr>
          <w:rFonts w:eastAsia="Times New Roman"/>
          <w:kern w:val="0"/>
          <w:lang w:val="sr-Cyrl-RS" w:eastAsia="sr-Cyrl-RS"/>
        </w:rPr>
        <w:t>:</w:t>
      </w:r>
    </w:p>
    <w:p w14:paraId="1E9D6401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Општи циљ Стратегије:</w:t>
      </w:r>
      <w:r w:rsidRPr="00F41CE2">
        <w:rPr>
          <w:rFonts w:eastAsia="Times New Roman"/>
          <w:kern w:val="0"/>
          <w:lang w:val="sr-Cyrl-RS" w:eastAsia="sr-Cyrl-RS"/>
        </w:rPr>
        <w:t xml:space="preserve"> Оснажени постојећи и уведени нови механизми за стварање подстицајног окружења за деловање организација цивилног друштва.</w:t>
      </w:r>
    </w:p>
    <w:p w14:paraId="17122A65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Посебни циљ 1:</w:t>
      </w:r>
      <w:r w:rsidRPr="00F41CE2">
        <w:rPr>
          <w:rFonts w:eastAsia="Times New Roman"/>
          <w:kern w:val="0"/>
          <w:lang w:val="sr-Cyrl-RS" w:eastAsia="sr-Cyrl-RS"/>
        </w:rPr>
        <w:t xml:space="preserve"> Обезбеђење већег укључивања цивилног сектора у процес доношења одлука на свим нивоима власти.</w:t>
      </w:r>
    </w:p>
    <w:p w14:paraId="2EF128BA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Посебни циљ 2:</w:t>
      </w:r>
      <w:r w:rsidRPr="00F41CE2">
        <w:rPr>
          <w:rFonts w:eastAsia="Times New Roman"/>
          <w:kern w:val="0"/>
          <w:lang w:val="sr-Cyrl-RS" w:eastAsia="sr-Cyrl-RS"/>
        </w:rPr>
        <w:t xml:space="preserve"> Унапређено транспарентно финансирање и одрживост цивилног сектора.</w:t>
      </w:r>
    </w:p>
    <w:p w14:paraId="74B43EB6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Посебни циљ 3:</w:t>
      </w:r>
      <w:r w:rsidRPr="00F41CE2">
        <w:rPr>
          <w:rFonts w:eastAsia="Times New Roman"/>
          <w:kern w:val="0"/>
          <w:lang w:val="sr-Cyrl-RS" w:eastAsia="sr-Cyrl-RS"/>
        </w:rPr>
        <w:t xml:space="preserve"> Обезбеђено веће учешће ОЦД у социо-економском развоју и деловање у складу са начелима одрживог развоја.</w:t>
      </w:r>
    </w:p>
    <w:p w14:paraId="41D6AF79" w14:textId="77777777" w:rsidR="003700F5" w:rsidRPr="00F41CE2" w:rsidRDefault="003700F5" w:rsidP="00F41CE2">
      <w:pPr>
        <w:widowControl/>
        <w:numPr>
          <w:ilvl w:val="0"/>
          <w:numId w:val="16"/>
        </w:numPr>
        <w:suppressAutoHyphens w:val="0"/>
        <w:spacing w:after="240" w:line="276" w:lineRule="auto"/>
        <w:jc w:val="both"/>
        <w:rPr>
          <w:rFonts w:eastAsia="Times New Roman"/>
          <w:kern w:val="0"/>
          <w:lang w:val="sr-Cyrl-RS" w:eastAsia="sr-Cyrl-RS"/>
        </w:rPr>
      </w:pPr>
      <w:r w:rsidRPr="00F41CE2">
        <w:rPr>
          <w:rFonts w:eastAsia="Times New Roman"/>
          <w:b/>
          <w:bCs/>
          <w:kern w:val="0"/>
          <w:lang w:val="sr-Cyrl-RS" w:eastAsia="sr-Cyrl-RS"/>
        </w:rPr>
        <w:t>Посебни циљ 4:</w:t>
      </w:r>
      <w:r w:rsidRPr="00F41CE2">
        <w:rPr>
          <w:rFonts w:eastAsia="Times New Roman"/>
          <w:kern w:val="0"/>
          <w:lang w:val="sr-Cyrl-RS" w:eastAsia="sr-Cyrl-RS"/>
        </w:rPr>
        <w:t xml:space="preserve"> Обезбеђено веће учешће ОЦД у процесу европских интеграција.</w:t>
      </w:r>
    </w:p>
    <w:p w14:paraId="56222058" w14:textId="2DB8C05D" w:rsidR="00310CCF" w:rsidRDefault="00344157" w:rsidP="00F41CE2">
      <w:pPr>
        <w:spacing w:after="240" w:line="276" w:lineRule="auto"/>
        <w:jc w:val="both"/>
      </w:pPr>
      <w:r>
        <w:t xml:space="preserve">У оквиру активности чији је рок реализације био предвиђен до краја 2025. </w:t>
      </w:r>
      <w:proofErr w:type="gramStart"/>
      <w:r>
        <w:t>године</w:t>
      </w:r>
      <w:proofErr w:type="gramEnd"/>
      <w:r>
        <w:t xml:space="preserve"> (пет активности), две су реализоване, две </w:t>
      </w:r>
      <w:r w:rsidR="00310CCF">
        <w:rPr>
          <w:lang w:val="sr-Cyrl-RS"/>
        </w:rPr>
        <w:t xml:space="preserve"> су у току</w:t>
      </w:r>
      <w:r>
        <w:t xml:space="preserve">, док </w:t>
      </w:r>
      <w:r w:rsidR="00310CCF">
        <w:rPr>
          <w:lang w:val="sr-Cyrl-RS"/>
        </w:rPr>
        <w:t xml:space="preserve">се од једне активности одустало </w:t>
      </w:r>
      <w:r w:rsidR="004470CC">
        <w:rPr>
          <w:lang w:val="sr-Cyrl-RS"/>
        </w:rPr>
        <w:t>на предвиђен начин</w:t>
      </w:r>
      <w:r>
        <w:t>.</w:t>
      </w:r>
    </w:p>
    <w:p w14:paraId="2F65A35E" w14:textId="5E36334F" w:rsidR="00B865CB" w:rsidRDefault="00310CCF" w:rsidP="00F41CE2">
      <w:pPr>
        <w:spacing w:after="240" w:line="276" w:lineRule="auto"/>
        <w:jc w:val="both"/>
        <w:rPr>
          <w:lang w:val="sr-Cyrl-RS"/>
        </w:rPr>
      </w:pPr>
      <w:r>
        <w:rPr>
          <w:lang w:val="sr-Cyrl-RS"/>
        </w:rPr>
        <w:t>Реализација планираних активности за 202</w:t>
      </w:r>
      <w:r w:rsidR="002F7C93">
        <w:rPr>
          <w:lang w:val="sr-Cyrl-RS"/>
        </w:rPr>
        <w:t>5</w:t>
      </w:r>
      <w:r>
        <w:rPr>
          <w:lang w:val="sr-Cyrl-RS"/>
        </w:rPr>
        <w:t>. годину условљена</w:t>
      </w:r>
      <w:r w:rsidRPr="00FD7E31">
        <w:rPr>
          <w:lang w:val="sr-Cyrl-RS"/>
        </w:rPr>
        <w:t xml:space="preserve"> </w:t>
      </w:r>
      <w:r>
        <w:rPr>
          <w:lang w:val="sr-Cyrl-RS"/>
        </w:rPr>
        <w:t xml:space="preserve">је </w:t>
      </w:r>
      <w:r w:rsidRPr="00FD7E31">
        <w:rPr>
          <w:lang w:val="sr-Cyrl-RS"/>
        </w:rPr>
        <w:t xml:space="preserve">околностима које су се </w:t>
      </w:r>
      <w:r>
        <w:rPr>
          <w:lang w:val="sr-Cyrl-RS"/>
        </w:rPr>
        <w:t>током имплементације Акционог плана измениле</w:t>
      </w:r>
      <w:r w:rsidRPr="00FD7E31">
        <w:rPr>
          <w:lang w:val="sr-Cyrl-RS"/>
        </w:rPr>
        <w:t xml:space="preserve">. </w:t>
      </w:r>
      <w:r>
        <w:rPr>
          <w:lang w:val="sr-Cyrl-RS"/>
        </w:rPr>
        <w:t xml:space="preserve">Наведено се пре свега односи на чињеницу да су </w:t>
      </w:r>
      <w:r w:rsidRPr="00C760AD">
        <w:rPr>
          <w:lang w:val="sr-Cyrl-RS"/>
        </w:rPr>
        <w:t>очекивана донаторска средства за реализацију активности изостала што је утицало на реализацију планираних активности</w:t>
      </w:r>
      <w:r w:rsidR="00AF626C">
        <w:rPr>
          <w:lang w:val="sr-Cyrl-RS"/>
        </w:rPr>
        <w:t>,</w:t>
      </w:r>
      <w:r w:rsidRPr="00C760AD">
        <w:rPr>
          <w:lang w:val="sr-Cyrl-RS"/>
        </w:rPr>
        <w:t xml:space="preserve"> односно одлагање </w:t>
      </w:r>
      <w:r w:rsidR="002F7C93">
        <w:rPr>
          <w:lang w:val="sr-Cyrl-RS"/>
        </w:rPr>
        <w:t>почетка</w:t>
      </w:r>
      <w:r w:rsidR="00033689">
        <w:rPr>
          <w:lang w:val="sr-Cyrl-RS"/>
        </w:rPr>
        <w:t xml:space="preserve"> </w:t>
      </w:r>
      <w:r w:rsidRPr="00C760AD">
        <w:rPr>
          <w:lang w:val="sr-Cyrl-RS"/>
        </w:rPr>
        <w:t>реализације</w:t>
      </w:r>
      <w:r w:rsidR="002F7C93">
        <w:rPr>
          <w:lang w:val="sr-Cyrl-RS"/>
        </w:rPr>
        <w:t xml:space="preserve"> појединих активности</w:t>
      </w:r>
      <w:r w:rsidR="00B865CB">
        <w:rPr>
          <w:lang w:val="sr-Cyrl-RS"/>
        </w:rPr>
        <w:t>, као што су:</w:t>
      </w:r>
    </w:p>
    <w:p w14:paraId="6674E1BF" w14:textId="6CE395D3" w:rsidR="00310CCF" w:rsidRDefault="00B865CB" w:rsidP="00F41CE2">
      <w:pPr>
        <w:spacing w:after="240" w:line="276" w:lineRule="auto"/>
        <w:jc w:val="both"/>
        <w:rPr>
          <w:rFonts w:eastAsia="Proxima Nova"/>
          <w:lang w:val="sr-Cyrl-RS"/>
        </w:rPr>
      </w:pPr>
      <w:r>
        <w:rPr>
          <w:lang w:val="sr-Cyrl-RS"/>
        </w:rPr>
        <w:t>Израда</w:t>
      </w:r>
      <w:r w:rsidR="005D642F">
        <w:rPr>
          <w:lang w:val="sr-Cyrl-RS"/>
        </w:rPr>
        <w:t xml:space="preserve"> </w:t>
      </w:r>
      <w:r w:rsidR="00310CCF" w:rsidRPr="00F80F82">
        <w:rPr>
          <w:i/>
        </w:rPr>
        <w:t>ex</w:t>
      </w:r>
      <w:r w:rsidR="00310CCF" w:rsidRPr="00F3211A">
        <w:rPr>
          <w:i/>
          <w:lang w:val="sr-Cyrl-RS"/>
        </w:rPr>
        <w:t>-</w:t>
      </w:r>
      <w:r w:rsidR="00310CCF" w:rsidRPr="00F80F82">
        <w:rPr>
          <w:i/>
        </w:rPr>
        <w:t>post</w:t>
      </w:r>
      <w:r w:rsidR="00310CCF" w:rsidRPr="00F3211A">
        <w:rPr>
          <w:lang w:val="sr-Cyrl-RS"/>
        </w:rPr>
        <w:t xml:space="preserve"> анализе ефеката досадашње примене </w:t>
      </w:r>
      <w:r w:rsidR="00310CCF">
        <w:rPr>
          <w:lang w:val="sr-Cyrl-RS"/>
        </w:rPr>
        <w:t>У</w:t>
      </w:r>
      <w:r w:rsidR="00310CCF" w:rsidRPr="00F3211A">
        <w:rPr>
          <w:lang w:val="sr-Cyrl-RS"/>
        </w:rPr>
        <w:t xml:space="preserve">редбе </w:t>
      </w:r>
      <w:r w:rsidR="00310CCF" w:rsidRPr="00BB47F7">
        <w:rPr>
          <w:rFonts w:eastAsia="Proxima Nova"/>
          <w:lang w:val="sr-Cyrl-RS"/>
        </w:rPr>
        <w:t>о средствима за подстицање програма или недостајућег дела средстава за финансирање програма од јавног интереса која реализују удружења</w:t>
      </w:r>
      <w:r>
        <w:rPr>
          <w:rFonts w:eastAsia="Proxima Nova"/>
          <w:lang w:val="sr-Cyrl-RS"/>
        </w:rPr>
        <w:t xml:space="preserve">. </w:t>
      </w:r>
      <w:r w:rsidR="00033689">
        <w:rPr>
          <w:rFonts w:eastAsia="Proxima Nova"/>
          <w:lang w:val="sr-Cyrl-RS"/>
        </w:rPr>
        <w:t>Реализација</w:t>
      </w:r>
      <w:r>
        <w:rPr>
          <w:rFonts w:eastAsia="Proxima Nova"/>
          <w:lang w:val="sr-Cyrl-RS"/>
        </w:rPr>
        <w:t xml:space="preserve"> ове активности</w:t>
      </w:r>
      <w:r w:rsidR="002F7C93">
        <w:rPr>
          <w:rFonts w:eastAsia="Proxima Nova"/>
          <w:lang w:val="sr-Cyrl-RS"/>
        </w:rPr>
        <w:t xml:space="preserve"> је </w:t>
      </w:r>
      <w:r w:rsidR="00310CCF">
        <w:rPr>
          <w:rFonts w:eastAsia="Proxima Nova"/>
          <w:lang w:val="sr-Latn-RS"/>
        </w:rPr>
        <w:t xml:space="preserve"> </w:t>
      </w:r>
      <w:r w:rsidR="004470CC" w:rsidRPr="00F3211A">
        <w:rPr>
          <w:lang w:val="sr-Cyrl-RS"/>
        </w:rPr>
        <w:t>започе</w:t>
      </w:r>
      <w:r w:rsidR="004470CC">
        <w:rPr>
          <w:lang w:val="sr-Cyrl-RS"/>
        </w:rPr>
        <w:t>ла</w:t>
      </w:r>
      <w:r w:rsidR="002F7C93">
        <w:rPr>
          <w:lang w:val="sr-Cyrl-RS"/>
        </w:rPr>
        <w:t xml:space="preserve"> крајем 2025.</w:t>
      </w:r>
      <w:r>
        <w:rPr>
          <w:lang w:val="sr-Cyrl-RS"/>
        </w:rPr>
        <w:t xml:space="preserve"> </w:t>
      </w:r>
      <w:r w:rsidR="002F7C93">
        <w:rPr>
          <w:lang w:val="sr-Cyrl-RS"/>
        </w:rPr>
        <w:t>године</w:t>
      </w:r>
      <w:r>
        <w:rPr>
          <w:lang w:val="sr-Cyrl-RS"/>
        </w:rPr>
        <w:t>,</w:t>
      </w:r>
      <w:r w:rsidR="002F7C93">
        <w:rPr>
          <w:lang w:val="sr-Cyrl-RS"/>
        </w:rPr>
        <w:t xml:space="preserve"> односно </w:t>
      </w:r>
      <w:r w:rsidR="00310CCF" w:rsidRPr="00F3211A">
        <w:rPr>
          <w:lang w:val="sr-Cyrl-RS"/>
        </w:rPr>
        <w:t xml:space="preserve"> </w:t>
      </w:r>
      <w:r w:rsidR="00310CCF">
        <w:rPr>
          <w:lang w:val="sr-Cyrl-RS"/>
        </w:rPr>
        <w:t xml:space="preserve">почетком 2026. </w:t>
      </w:r>
      <w:r w:rsidR="004470CC">
        <w:rPr>
          <w:lang w:val="sr-Cyrl-RS"/>
        </w:rPr>
        <w:t>године</w:t>
      </w:r>
      <w:r w:rsidR="002F7C93">
        <w:rPr>
          <w:lang w:val="sr-Cyrl-RS"/>
        </w:rPr>
        <w:t xml:space="preserve">. Након израде </w:t>
      </w:r>
      <w:r w:rsidR="002F7C93" w:rsidRPr="00F80F82">
        <w:rPr>
          <w:i/>
        </w:rPr>
        <w:t>ex</w:t>
      </w:r>
      <w:r w:rsidR="002F7C93" w:rsidRPr="00F3211A">
        <w:rPr>
          <w:i/>
          <w:lang w:val="sr-Cyrl-RS"/>
        </w:rPr>
        <w:t>-</w:t>
      </w:r>
      <w:r w:rsidR="002F7C93" w:rsidRPr="00F80F82">
        <w:rPr>
          <w:i/>
        </w:rPr>
        <w:t>post</w:t>
      </w:r>
      <w:r w:rsidR="002F7C93" w:rsidRPr="00F3211A">
        <w:rPr>
          <w:lang w:val="sr-Cyrl-RS"/>
        </w:rPr>
        <w:t xml:space="preserve"> анализе</w:t>
      </w:r>
      <w:r w:rsidR="00310CCF">
        <w:rPr>
          <w:lang w:val="sr-Cyrl-RS"/>
        </w:rPr>
        <w:t xml:space="preserve">, </w:t>
      </w:r>
      <w:r w:rsidR="00310CCF" w:rsidRPr="00C760AD">
        <w:rPr>
          <w:lang w:val="sr-Cyrl-RS"/>
        </w:rPr>
        <w:t>ће</w:t>
      </w:r>
      <w:r w:rsidR="00310CCF" w:rsidRPr="00C760AD">
        <w:rPr>
          <w:lang w:val="sr-Latn-RS"/>
        </w:rPr>
        <w:t>,</w:t>
      </w:r>
      <w:r w:rsidR="00310CCF" w:rsidRPr="00C760AD">
        <w:rPr>
          <w:lang w:val="sr-Cyrl-RS"/>
        </w:rPr>
        <w:t xml:space="preserve"> у складу са препорукама</w:t>
      </w:r>
      <w:r w:rsidR="00310CCF" w:rsidRPr="00C760AD">
        <w:rPr>
          <w:lang w:val="sr-Latn-RS"/>
        </w:rPr>
        <w:t>,</w:t>
      </w:r>
      <w:r w:rsidR="00310CCF" w:rsidRPr="00C760AD">
        <w:rPr>
          <w:lang w:val="sr-Cyrl-RS"/>
        </w:rPr>
        <w:t xml:space="preserve"> уследити и </w:t>
      </w:r>
      <w:r w:rsidR="00310CCF" w:rsidRPr="00C760AD">
        <w:rPr>
          <w:rFonts w:eastAsia="Proxima Nova"/>
          <w:lang w:val="sr-Cyrl-RS"/>
        </w:rPr>
        <w:t>процес измена и допуна</w:t>
      </w:r>
      <w:r w:rsidR="00310CCF" w:rsidRPr="00C760AD">
        <w:rPr>
          <w:rFonts w:eastAsia="Proxima Nova"/>
          <w:lang w:val="sr-Latn-RS"/>
        </w:rPr>
        <w:t>,</w:t>
      </w:r>
      <w:r w:rsidR="00310CCF" w:rsidRPr="00C760AD">
        <w:rPr>
          <w:rFonts w:eastAsia="Proxima Nova"/>
          <w:lang w:val="sr-Cyrl-RS"/>
        </w:rPr>
        <w:t xml:space="preserve"> односно израде</w:t>
      </w:r>
      <w:r w:rsidR="002F7C93">
        <w:rPr>
          <w:rFonts w:eastAsia="Proxima Nova"/>
          <w:lang w:val="sr-Cyrl-RS"/>
        </w:rPr>
        <w:t xml:space="preserve"> </w:t>
      </w:r>
      <w:r w:rsidR="00310CCF" w:rsidRPr="00C760AD">
        <w:rPr>
          <w:rFonts w:eastAsia="Proxima Nova"/>
          <w:lang w:val="sr-Cyrl-RS"/>
        </w:rPr>
        <w:t xml:space="preserve"> нове Уредбе</w:t>
      </w:r>
      <w:r w:rsidR="005D642F">
        <w:rPr>
          <w:rFonts w:eastAsia="Proxima Nova"/>
          <w:lang w:val="sr-Cyrl-RS"/>
        </w:rPr>
        <w:t xml:space="preserve"> </w:t>
      </w:r>
      <w:r w:rsidR="005D642F" w:rsidRPr="00C760AD">
        <w:rPr>
          <w:rFonts w:eastAsia="Proxima Nova"/>
          <w:lang w:val="sr-Cyrl-RS"/>
        </w:rPr>
        <w:t xml:space="preserve">у складу са одредбама Закона о планском систему Републике Србије </w:t>
      </w:r>
    </w:p>
    <w:p w14:paraId="3F21BFA3" w14:textId="28351CA1" w:rsidR="00602599" w:rsidRPr="00033689" w:rsidRDefault="00602599" w:rsidP="00033689">
      <w:pPr>
        <w:spacing w:after="240" w:line="276" w:lineRule="auto"/>
        <w:jc w:val="both"/>
        <w:rPr>
          <w:lang w:val="sr-Cyrl-RS"/>
        </w:rPr>
      </w:pPr>
      <w:r w:rsidRPr="00033689">
        <w:rPr>
          <w:lang w:val="sr-Cyrl-RS"/>
        </w:rPr>
        <w:t>Активност "Ревидирање модела одлуке о спровођењу јавних расправа у јединицама локалне самоуправе у циљу детаљнијег уређивања учешћа ОЦД“ планирана у партнерству са Сталном конференцијом градова и општина започета је у предвиђеном року. Након првог састанка  надлежни органи, иницирали су измене правних аката који уређују питања консултација и јавне расправе</w:t>
      </w:r>
      <w:r w:rsidR="00B865CB" w:rsidRPr="00033689">
        <w:rPr>
          <w:lang w:val="sr-Cyrl-RS"/>
        </w:rPr>
        <w:t>, али на предлог сугестија ОЦД које су учеснице овог процеса са истим,</w:t>
      </w:r>
      <w:r w:rsidRPr="00033689">
        <w:rPr>
          <w:lang w:val="sr-Cyrl-RS"/>
        </w:rPr>
        <w:t xml:space="preserve"> одлучено је да процес израде модела аката на локалном нивоу настави када се додатно уреде ова питања</w:t>
      </w:r>
      <w:r w:rsidR="00034F32" w:rsidRPr="00033689">
        <w:rPr>
          <w:lang w:val="sr-Cyrl-RS"/>
        </w:rPr>
        <w:t xml:space="preserve"> на ниационалном нивоу</w:t>
      </w:r>
      <w:r w:rsidR="00033689" w:rsidRPr="00033689">
        <w:rPr>
          <w:lang w:val="sr-Cyrl-RS"/>
        </w:rPr>
        <w:t>.</w:t>
      </w:r>
    </w:p>
    <w:p w14:paraId="199D6084" w14:textId="77777777" w:rsidR="00602599" w:rsidRPr="00C760AD" w:rsidRDefault="00602599" w:rsidP="00F41CE2">
      <w:pPr>
        <w:spacing w:after="240" w:line="276" w:lineRule="auto"/>
        <w:jc w:val="both"/>
        <w:rPr>
          <w:rFonts w:eastAsia="Proxima Nova"/>
          <w:lang w:val="sr-Cyrl-RS"/>
        </w:rPr>
      </w:pPr>
    </w:p>
    <w:p w14:paraId="66A890E1" w14:textId="128A037A" w:rsidR="00033689" w:rsidRDefault="00602599" w:rsidP="00033689">
      <w:pPr>
        <w:spacing w:after="240" w:line="276" w:lineRule="auto"/>
        <w:jc w:val="both"/>
        <w:rPr>
          <w:lang w:val="sr-Cyrl-RS"/>
        </w:rPr>
      </w:pPr>
      <w:r w:rsidRPr="00C760AD">
        <w:rPr>
          <w:lang w:val="sr-Cyrl-RS"/>
        </w:rPr>
        <w:t xml:space="preserve">Изостанак очекиване донатрске подршке </w:t>
      </w:r>
      <w:r w:rsidRPr="002F7C93">
        <w:rPr>
          <w:lang w:val="sr-Cyrl-RS"/>
        </w:rPr>
        <w:t>ути</w:t>
      </w:r>
      <w:r w:rsidR="002F7C93">
        <w:rPr>
          <w:lang w:val="sr-Cyrl-RS"/>
        </w:rPr>
        <w:t>ц</w:t>
      </w:r>
      <w:r w:rsidRPr="002F7C93">
        <w:rPr>
          <w:lang w:val="sr-Cyrl-RS"/>
        </w:rPr>
        <w:t>ао ј</w:t>
      </w:r>
      <w:r w:rsidRPr="00C760AD">
        <w:rPr>
          <w:lang w:val="sr-Cyrl-RS"/>
        </w:rPr>
        <w:t>е на реализацију</w:t>
      </w:r>
      <w:r w:rsidRPr="00033689">
        <w:rPr>
          <w:lang w:val="sr-Cyrl-RS"/>
        </w:rPr>
        <w:t xml:space="preserve"> активности израде  анализе примене процеса консултација и института јавне расправе ради њиховог евентуалног повезивања и унапређења ових процеса</w:t>
      </w:r>
      <w:r w:rsidRPr="007F2ABD">
        <w:rPr>
          <w:lang w:val="sr-Cyrl-RS"/>
        </w:rPr>
        <w:t>.</w:t>
      </w:r>
      <w:r w:rsidR="00310CCF" w:rsidRPr="007F2ABD">
        <w:rPr>
          <w:lang w:val="sr-Cyrl-RS"/>
        </w:rPr>
        <w:t xml:space="preserve"> Упркос томе, настојећи да се циљ обавезе постигне на други одговарајући начин, односно да се превазиђе изазов изостанка планиране</w:t>
      </w:r>
      <w:r w:rsidR="00310CCF" w:rsidRPr="00C3130E">
        <w:rPr>
          <w:lang w:val="sr-Cyrl-RS"/>
        </w:rPr>
        <w:t xml:space="preserve"> донаторске подршке и не одустане од саме обавезе, надлежни органи закључили</w:t>
      </w:r>
      <w:r w:rsidR="00310CCF">
        <w:rPr>
          <w:lang w:val="sr-Cyrl-RS"/>
        </w:rPr>
        <w:t xml:space="preserve"> су да се унапређењу </w:t>
      </w:r>
      <w:r w:rsidR="00310CCF" w:rsidRPr="00033689">
        <w:rPr>
          <w:lang w:val="sr-Cyrl-RS"/>
        </w:rPr>
        <w:t xml:space="preserve">учешћа јавности у изради прописа и докумената јавних политика може приступити и без планиране </w:t>
      </w:r>
      <w:r w:rsidR="00310CCF">
        <w:rPr>
          <w:lang w:val="sr-Cyrl-RS"/>
        </w:rPr>
        <w:t xml:space="preserve">анализе, тачније, да су стање у области и препоруке већ садржани у постојећим документима (СИГМА извештаји, годишњи извештаји ЕК о напретку, </w:t>
      </w:r>
      <w:r w:rsidR="005666D7">
        <w:rPr>
          <w:lang w:val="sr-Cyrl-RS"/>
        </w:rPr>
        <w:t>национални</w:t>
      </w:r>
      <w:r w:rsidR="00310CCF">
        <w:rPr>
          <w:lang w:val="sr-Cyrl-RS"/>
        </w:rPr>
        <w:t xml:space="preserve"> извештаји о спровођењу докумената јавних политика који се баве овом темом).</w:t>
      </w:r>
      <w:r w:rsidR="00310CCF" w:rsidRPr="00033689">
        <w:rPr>
          <w:lang w:val="sr-Cyrl-RS"/>
        </w:rPr>
        <w:t xml:space="preserve"> У складу са</w:t>
      </w:r>
      <w:r w:rsidRPr="00033689">
        <w:rPr>
          <w:lang w:val="sr-Cyrl-RS"/>
        </w:rPr>
        <w:t xml:space="preserve"> наведеним један од партнера у реализацији активности </w:t>
      </w:r>
      <w:r w:rsidR="00310CCF" w:rsidRPr="00033689">
        <w:rPr>
          <w:lang w:val="sr-Cyrl-RS"/>
        </w:rPr>
        <w:t>Р</w:t>
      </w:r>
      <w:r w:rsidRPr="00033689">
        <w:rPr>
          <w:lang w:val="sr-Cyrl-RS"/>
        </w:rPr>
        <w:t xml:space="preserve">епублички </w:t>
      </w:r>
      <w:r w:rsidR="007F2ABD" w:rsidRPr="00033689">
        <w:rPr>
          <w:lang w:val="sr-Cyrl-RS"/>
        </w:rPr>
        <w:t>секретаријат</w:t>
      </w:r>
      <w:r w:rsidRPr="00033689">
        <w:rPr>
          <w:lang w:val="sr-Cyrl-RS"/>
        </w:rPr>
        <w:t xml:space="preserve"> за јавне политике </w:t>
      </w:r>
      <w:r w:rsidR="007F2ABD" w:rsidRPr="00033689">
        <w:rPr>
          <w:lang w:val="sr-Cyrl-RS"/>
        </w:rPr>
        <w:t>ј</w:t>
      </w:r>
      <w:r w:rsidR="00310CCF" w:rsidRPr="00033689">
        <w:rPr>
          <w:lang w:val="sr-Cyrl-RS"/>
        </w:rPr>
        <w:t>е формирао Радну групу за припрему измена правог оквира консултација и јавне расправе</w:t>
      </w:r>
      <w:r w:rsidR="00083FCC" w:rsidRPr="00033689">
        <w:rPr>
          <w:lang w:val="sr-Cyrl-RS"/>
        </w:rPr>
        <w:t>.</w:t>
      </w:r>
      <w:r w:rsidR="00310CCF" w:rsidRPr="00033689">
        <w:rPr>
          <w:lang w:val="sr-Cyrl-RS"/>
        </w:rPr>
        <w:t xml:space="preserve"> У оквиру рада ове радне групе наставиће се разматрање и одлучивање у вези са формулацијом препорука за унапређење учешћа јавности у процесу доношења прописа и докумената јавних политика, као и рад на измени регулативе.</w:t>
      </w:r>
      <w:r w:rsidRPr="00033689">
        <w:rPr>
          <w:lang w:val="sr-Cyrl-RS"/>
        </w:rPr>
        <w:t xml:space="preserve"> </w:t>
      </w:r>
    </w:p>
    <w:p w14:paraId="53B4260D" w14:textId="303922D6" w:rsidR="00033689" w:rsidRPr="00A204AD" w:rsidRDefault="00033689" w:rsidP="00033689">
      <w:pPr>
        <w:spacing w:after="240" w:line="276" w:lineRule="auto"/>
        <w:jc w:val="both"/>
        <w:rPr>
          <w:i/>
          <w:lang w:val="sr-Cyrl-RS"/>
        </w:rPr>
      </w:pPr>
      <w:r w:rsidRPr="00A204AD">
        <w:rPr>
          <w:i/>
          <w:lang w:val="sr-Cyrl-RS"/>
        </w:rPr>
        <w:t xml:space="preserve">Графикон 1. Преглед реализације активности планираних у 2025. години </w:t>
      </w:r>
    </w:p>
    <w:p w14:paraId="307FAFC2" w14:textId="519F4D75" w:rsidR="00033689" w:rsidRPr="00033689" w:rsidRDefault="00033689" w:rsidP="00033689">
      <w:pPr>
        <w:spacing w:after="240" w:line="276" w:lineRule="auto"/>
        <w:jc w:val="both"/>
        <w:rPr>
          <w:lang w:val="sr-Cyrl-RS"/>
        </w:rPr>
      </w:pPr>
      <w:r>
        <w:rPr>
          <w:noProof/>
        </w:rPr>
        <w:drawing>
          <wp:inline distT="0" distB="0" distL="0" distR="0" wp14:anchorId="676B5665" wp14:editId="2EEF2125">
            <wp:extent cx="6027089" cy="2488758"/>
            <wp:effectExtent l="0" t="0" r="12065" b="69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A5746CF" w14:textId="32A23EA0" w:rsidR="00602599" w:rsidRPr="008955F4" w:rsidRDefault="008955F4" w:rsidP="00A204AD">
      <w:pPr>
        <w:spacing w:after="240" w:line="276" w:lineRule="auto"/>
        <w:ind w:firstLine="708"/>
        <w:jc w:val="both"/>
        <w:rPr>
          <w:lang w:val="sr-Cyrl-RS"/>
        </w:rPr>
      </w:pPr>
      <w:r>
        <w:rPr>
          <w:lang w:val="sr-Cyrl-RS"/>
        </w:rPr>
        <w:t>Додатно, реализовано је неколико активности чији</w:t>
      </w:r>
      <w:r w:rsidR="00B865CB">
        <w:rPr>
          <w:lang w:val="sr-Cyrl-RS"/>
        </w:rPr>
        <w:t xml:space="preserve"> је</w:t>
      </w:r>
      <w:r>
        <w:rPr>
          <w:lang w:val="sr-Cyrl-RS"/>
        </w:rPr>
        <w:t xml:space="preserve"> рок реализације 2026. </w:t>
      </w:r>
      <w:r w:rsidR="00B865CB">
        <w:rPr>
          <w:lang w:val="sr-Cyrl-RS"/>
        </w:rPr>
        <w:t>година</w:t>
      </w:r>
      <w:r>
        <w:rPr>
          <w:lang w:val="sr-Cyrl-RS"/>
        </w:rPr>
        <w:t xml:space="preserve">, што је представљено у табеларном прегледу извештаја. </w:t>
      </w:r>
      <w:r w:rsidRPr="00A204AD">
        <w:rPr>
          <w:lang w:val="sr-Cyrl-RS"/>
        </w:rPr>
        <w:t xml:space="preserve">Такође </w:t>
      </w:r>
      <w:r w:rsidR="002A6F06">
        <w:rPr>
          <w:lang w:val="sr-Cyrl-RS"/>
        </w:rPr>
        <w:t>надлежни</w:t>
      </w:r>
      <w:r w:rsidRPr="00A204AD">
        <w:rPr>
          <w:lang w:val="sr-Cyrl-RS"/>
        </w:rPr>
        <w:t xml:space="preserve"> органи су реализовали активности које се у континуитету спроводе, као што је реализација јавних конкурса</w:t>
      </w:r>
      <w:r w:rsidR="00195DCD" w:rsidRPr="00A204AD">
        <w:rPr>
          <w:lang w:val="sr-Cyrl-RS"/>
        </w:rPr>
        <w:t>, обуке и друге активнос</w:t>
      </w:r>
      <w:r w:rsidR="00A204AD" w:rsidRPr="00A204AD">
        <w:rPr>
          <w:lang w:val="sr-Cyrl-RS"/>
        </w:rPr>
        <w:t>ти, такође представљене у табеларном прегледу реализованих</w:t>
      </w:r>
      <w:r w:rsidR="00A204AD">
        <w:rPr>
          <w:lang w:val="sr-Cyrl-RS"/>
        </w:rPr>
        <w:t xml:space="preserve"> </w:t>
      </w:r>
      <w:r w:rsidR="00A204AD" w:rsidRPr="00A204AD">
        <w:rPr>
          <w:lang w:val="sr-Cyrl-RS"/>
        </w:rPr>
        <w:t>активности.</w:t>
      </w:r>
      <w:r w:rsidR="00A204AD">
        <w:rPr>
          <w:color w:val="FF0000"/>
          <w:lang w:val="sr-Cyrl-RS"/>
        </w:rPr>
        <w:t xml:space="preserve"> </w:t>
      </w:r>
    </w:p>
    <w:p w14:paraId="7B77F56A" w14:textId="75F9BF2E" w:rsidR="007C6066" w:rsidRPr="00F41CE2" w:rsidRDefault="001022F0" w:rsidP="00F41CE2">
      <w:pPr>
        <w:spacing w:after="240" w:line="276" w:lineRule="auto"/>
        <w:jc w:val="both"/>
      </w:pPr>
      <w:r w:rsidRPr="001022F0">
        <w:rPr>
          <w:noProof/>
        </w:rPr>
        <w:t xml:space="preserve"> </w:t>
      </w:r>
      <w:r w:rsidRPr="00F41CE2">
        <w:rPr>
          <w:noProof/>
        </w:rPr>
        <w:t xml:space="preserve"> </w:t>
      </w:r>
    </w:p>
    <w:p w14:paraId="440EE50F" w14:textId="77777777" w:rsidR="000D7575" w:rsidRPr="0062398F" w:rsidRDefault="00B93FE0" w:rsidP="0062398F">
      <w:pPr>
        <w:pStyle w:val="Heading1"/>
        <w:jc w:val="center"/>
      </w:pPr>
      <w:bookmarkStart w:id="9" w:name="_Toc222911260"/>
      <w:bookmarkStart w:id="10" w:name="_Toc222911363"/>
      <w:r w:rsidRPr="0062398F">
        <w:lastRenderedPageBreak/>
        <w:t>ПРЕГЛЕД ОПШТИХ, ПОСЕБНИХ ЦИЉЕВА И МЕРА У ОДНОСУ НА ПОКАЗАТЕЉЕ УЧИНКА</w:t>
      </w:r>
      <w:bookmarkEnd w:id="9"/>
      <w:bookmarkEnd w:id="10"/>
    </w:p>
    <w:p w14:paraId="0A764C8A" w14:textId="5F526F2A" w:rsidR="00497A9F" w:rsidRPr="00F41CE2" w:rsidRDefault="00497A9F" w:rsidP="00B93FE0">
      <w:pPr>
        <w:pStyle w:val="Heading1"/>
        <w:spacing w:after="240" w:line="276" w:lineRule="auto"/>
        <w:jc w:val="both"/>
        <w:rPr>
          <w:rFonts w:cs="Times New Roman"/>
          <w:sz w:val="24"/>
          <w:szCs w:val="24"/>
        </w:rPr>
      </w:pPr>
      <w:bookmarkStart w:id="11" w:name="_Toc222911261"/>
      <w:bookmarkStart w:id="12" w:name="_Toc222911364"/>
      <w:r w:rsidRPr="00F41CE2">
        <w:rPr>
          <w:rFonts w:cs="Times New Roman"/>
          <w:sz w:val="24"/>
          <w:szCs w:val="24"/>
        </w:rPr>
        <w:t>Oпшти циљ Стратегије</w:t>
      </w:r>
      <w:r w:rsidR="00A204AD">
        <w:rPr>
          <w:rFonts w:cs="Times New Roman"/>
          <w:sz w:val="24"/>
          <w:szCs w:val="24"/>
        </w:rPr>
        <w:t>: О</w:t>
      </w:r>
      <w:r w:rsidRPr="00F41CE2">
        <w:rPr>
          <w:rFonts w:cs="Times New Roman"/>
          <w:sz w:val="24"/>
          <w:szCs w:val="24"/>
        </w:rPr>
        <w:t>снажени постојећи и уведени нови механизми за стварање подстицајног окружења за деловање организација цивилног друштва.</w:t>
      </w:r>
      <w:bookmarkEnd w:id="11"/>
      <w:bookmarkEnd w:id="12"/>
    </w:p>
    <w:p w14:paraId="776306AC" w14:textId="77777777" w:rsidR="00751642" w:rsidRPr="00F41CE2" w:rsidRDefault="00751642" w:rsidP="00F41CE2">
      <w:pPr>
        <w:spacing w:after="240" w:line="276" w:lineRule="auto"/>
        <w:jc w:val="both"/>
      </w:pPr>
      <w:r w:rsidRPr="00F41CE2">
        <w:t xml:space="preserve">У циљу његовог остваривања утврђена су </w:t>
      </w:r>
      <w:r w:rsidR="00497A9F" w:rsidRPr="00F41CE2">
        <w:t xml:space="preserve">четири посебна циља </w:t>
      </w:r>
      <w:r w:rsidRPr="00F41CE2">
        <w:t>за које су прописане мере</w:t>
      </w:r>
      <w:r w:rsidRPr="00F41CE2">
        <w:rPr>
          <w:lang w:val="sr-Cyrl-RS"/>
        </w:rPr>
        <w:t>,</w:t>
      </w:r>
      <w:r w:rsidRPr="00F41CE2">
        <w:t xml:space="preserve"> чија реализација доприноси остваривању сваког појединачног посебног циља, док све мере у целини доприносе остваривању општег циља.</w:t>
      </w:r>
    </w:p>
    <w:p w14:paraId="2D03EBB2" w14:textId="77777777" w:rsidR="00751642" w:rsidRPr="00F41CE2" w:rsidRDefault="00751642" w:rsidP="00F41CE2">
      <w:pPr>
        <w:spacing w:after="240" w:line="276" w:lineRule="auto"/>
        <w:jc w:val="both"/>
      </w:pPr>
      <w:r w:rsidRPr="00F41CE2">
        <w:t>Општи циљ Стратегије до 2025. године није у потпуности остварен, што је у складу са његовим дугорочним карактером и чињеницом да је период важења Стратегије утврђен до 2030. године.</w:t>
      </w:r>
    </w:p>
    <w:p w14:paraId="67E6D80D" w14:textId="6E4FF3AA" w:rsidR="000B5FF1" w:rsidRDefault="00751642" w:rsidP="00F41CE2">
      <w:pPr>
        <w:spacing w:after="240" w:line="276" w:lineRule="auto"/>
        <w:jc w:val="both"/>
        <w:rPr>
          <w:b/>
          <w:lang w:val="sr-Cyrl-RS"/>
        </w:rPr>
      </w:pPr>
      <w:r w:rsidRPr="00F41CE2">
        <w:t>До сада су реализоване активности у оквиру Акционог плана за 2022–2023. годину и Акционог плана за период 2025–2026. године, које представљају основу за даљу имплементацију, док се пуни ефекти остваривања општег циља очекују у наредном периоду.</w:t>
      </w:r>
    </w:p>
    <w:p w14:paraId="1DFB5499" w14:textId="77777777" w:rsidR="00243143" w:rsidRPr="00F41CE2" w:rsidRDefault="003346DB" w:rsidP="00F41CE2">
      <w:pPr>
        <w:spacing w:after="240" w:line="276" w:lineRule="auto"/>
        <w:jc w:val="both"/>
        <w:rPr>
          <w:rStyle w:val="Strong"/>
        </w:rPr>
      </w:pPr>
      <w:r w:rsidRPr="00F41CE2">
        <w:rPr>
          <w:b/>
          <w:lang w:val="sr-Cyrl-RS"/>
        </w:rPr>
        <w:t>Посебан циљ 1</w:t>
      </w:r>
      <w:r w:rsidRPr="00F41CE2">
        <w:rPr>
          <w:lang w:val="sr-Cyrl-RS"/>
        </w:rPr>
        <w:t>:</w:t>
      </w:r>
      <w:r w:rsidRPr="00F41CE2">
        <w:rPr>
          <w:b/>
        </w:rPr>
        <w:t xml:space="preserve"> Обезбеђење већег укључивања цивилног сектора у процес доношења одлука на свим нивоима власти</w:t>
      </w:r>
      <w:r w:rsidR="00673ED5" w:rsidRPr="00F41CE2">
        <w:rPr>
          <w:rStyle w:val="Stron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1005"/>
        <w:gridCol w:w="1183"/>
        <w:gridCol w:w="3368"/>
      </w:tblGrid>
      <w:tr w:rsidR="009B01B8" w:rsidRPr="009D5A8B" w14:paraId="033A5B5E" w14:textId="77777777" w:rsidTr="00A204AD">
        <w:trPr>
          <w:tblHeader/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368B" w14:textId="7A3A3911" w:rsidR="00673ED5" w:rsidRPr="00A204AD" w:rsidRDefault="00A204AD" w:rsidP="00A204AD">
            <w:pPr>
              <w:spacing w:after="240"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Показатељи општих и посебних циљева и мера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1DCE" w14:textId="7626424D" w:rsidR="00673ED5" w:rsidRPr="009B01B8" w:rsidRDefault="00673ED5" w:rsidP="000B5FF1">
            <w:pPr>
              <w:spacing w:after="240" w:line="276" w:lineRule="auto"/>
              <w:jc w:val="center"/>
              <w:rPr>
                <w:bCs/>
              </w:rPr>
            </w:pPr>
            <w:r w:rsidRPr="009B01B8">
              <w:rPr>
                <w:bCs/>
              </w:rPr>
              <w:t>Циљ</w:t>
            </w:r>
            <w:r w:rsidR="007B26A2">
              <w:rPr>
                <w:bCs/>
                <w:lang w:val="sr-Cyrl-RS"/>
              </w:rPr>
              <w:t>а</w:t>
            </w:r>
            <w:r w:rsidR="00F81279">
              <w:rPr>
                <w:bCs/>
                <w:lang w:val="sr-Cyrl-RS"/>
              </w:rPr>
              <w:t xml:space="preserve">на вредност </w:t>
            </w:r>
            <w:r w:rsidRPr="009B01B8">
              <w:rPr>
                <w:bCs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13A" w14:textId="5CF8EA4F" w:rsidR="00673ED5" w:rsidRPr="009B01B8" w:rsidRDefault="00F81279" w:rsidP="000B5FF1">
            <w:pPr>
              <w:spacing w:after="240" w:line="276" w:lineRule="auto"/>
              <w:jc w:val="center"/>
              <w:rPr>
                <w:bCs/>
              </w:rPr>
            </w:pPr>
            <w:r>
              <w:rPr>
                <w:bCs/>
                <w:lang w:val="sr-Cyrl-RS"/>
              </w:rPr>
              <w:t>Остварено</w:t>
            </w:r>
            <w:r w:rsidRPr="009B01B8">
              <w:rPr>
                <w:bCs/>
              </w:rPr>
              <w:t xml:space="preserve"> </w:t>
            </w:r>
            <w:r w:rsidR="00673ED5" w:rsidRPr="009B01B8">
              <w:rPr>
                <w:bCs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C4B" w14:textId="77777777" w:rsidR="00673ED5" w:rsidRPr="009B01B8" w:rsidRDefault="00673ED5" w:rsidP="000B5FF1">
            <w:pPr>
              <w:spacing w:after="240" w:line="276" w:lineRule="auto"/>
              <w:jc w:val="center"/>
              <w:rPr>
                <w:bCs/>
              </w:rPr>
            </w:pPr>
            <w:r w:rsidRPr="009B01B8">
              <w:rPr>
                <w:bCs/>
              </w:rPr>
              <w:t>Статус</w:t>
            </w:r>
          </w:p>
        </w:tc>
      </w:tr>
      <w:tr w:rsidR="009B01B8" w:rsidRPr="00F41CE2" w14:paraId="5E813F94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CAC3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t>Учешће цивилног сектора у процесу доношења одлука у раним фазама је повећано на свим нивоима (0-нема утицаја, 1-слаб утицај, 2-јак утицај)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7BB9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53BA" w14:textId="77777777" w:rsidR="00673ED5" w:rsidRPr="003160B3" w:rsidRDefault="00046510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997" w14:textId="77777777" w:rsidR="00673ED5" w:rsidRPr="00046510" w:rsidRDefault="00046510" w:rsidP="000A0F47">
            <w:pPr>
              <w:spacing w:after="240" w:line="276" w:lineRule="auto"/>
              <w:jc w:val="center"/>
              <w:rPr>
                <w:b/>
              </w:rPr>
            </w:pPr>
            <w:r w:rsidRPr="00046510">
              <w:rPr>
                <w:b/>
                <w:lang w:val="sr-Cyrl-RS"/>
              </w:rPr>
              <w:t>Делимично о</w:t>
            </w:r>
            <w:r w:rsidR="00673ED5" w:rsidRPr="00046510">
              <w:rPr>
                <w:b/>
              </w:rPr>
              <w:t>стварено</w:t>
            </w:r>
          </w:p>
          <w:p w14:paraId="510EA174" w14:textId="77777777" w:rsidR="009D75E3" w:rsidRPr="009D75E3" w:rsidRDefault="00046510" w:rsidP="009D75E3">
            <w:pPr>
              <w:spacing w:after="240" w:line="276" w:lineRule="auto"/>
              <w:jc w:val="both"/>
              <w:rPr>
                <w:lang w:val="sr-Cyrl-RS"/>
              </w:rPr>
            </w:pPr>
            <w:r w:rsidRPr="00046510">
              <w:rPr>
                <w:lang w:val="sr-Cyrl-RS"/>
              </w:rPr>
              <w:t xml:space="preserve">На основу </w:t>
            </w:r>
            <w:r w:rsidR="009D75E3">
              <w:rPr>
                <w:lang w:val="sr-Cyrl-RS"/>
              </w:rPr>
              <w:t>И</w:t>
            </w:r>
            <w:r w:rsidRPr="00046510">
              <w:rPr>
                <w:lang w:val="sr-Cyrl-RS"/>
              </w:rPr>
              <w:t xml:space="preserve">звештаја о спровођењу Смерница </w:t>
            </w:r>
            <w:r w:rsidR="009D75E3">
              <w:rPr>
                <w:lang w:val="sr-Cyrl-RS"/>
              </w:rPr>
              <w:t xml:space="preserve"> </w:t>
            </w:r>
            <w:r w:rsidRPr="00046510">
              <w:rPr>
                <w:lang w:val="sr-Cyrl-RS"/>
              </w:rPr>
              <w:t>за</w:t>
            </w:r>
            <w:r w:rsidR="009D75E3">
              <w:t xml:space="preserve"> за укључивање организација цивилног друштва у радне групе за израду предлога докумената јавних политика и нацрта, односно предлога прописа</w:t>
            </w:r>
            <w:r w:rsidRPr="00046510">
              <w:rPr>
                <w:lang w:val="sr-Cyrl-RS"/>
              </w:rPr>
              <w:t xml:space="preserve"> 2025. годину и  добијених података, укупан број организација цивилног друштва које су учествовале у процесу израде прописа у 2025. години је </w:t>
            </w:r>
            <w:r w:rsidR="002D789B">
              <w:rPr>
                <w:lang w:val="sr-Cyrl-RS"/>
              </w:rPr>
              <w:t>142</w:t>
            </w:r>
            <w:r w:rsidR="009D75E3">
              <w:rPr>
                <w:lang w:val="sr-Cyrl-RS"/>
              </w:rPr>
              <w:t xml:space="preserve"> </w:t>
            </w:r>
            <w:r w:rsidR="009D75E3" w:rsidRPr="009D75E3">
              <w:rPr>
                <w:lang w:val="sr-Cyrl-RS"/>
              </w:rPr>
              <w:t xml:space="preserve">од којих су 26 </w:t>
            </w:r>
            <w:r w:rsidR="009D75E3" w:rsidRPr="009D75E3">
              <w:rPr>
                <w:lang w:val="sr-Cyrl-RS"/>
              </w:rPr>
              <w:lastRenderedPageBreak/>
              <w:t xml:space="preserve">ОЦД укључене процедуром јавних позива, дефинисаном Смерницама за укључивање организација цивилног друштва у радне групе за израду докумената јавних политика и нацрта, односно предлога прописа, док је 116 ОЦД укључено у радних група директним позивањем.  </w:t>
            </w:r>
          </w:p>
          <w:p w14:paraId="5C971F1C" w14:textId="68F40F68" w:rsidR="00D707F9" w:rsidRDefault="009D75E3" w:rsidP="009D75E3">
            <w:pPr>
              <w:spacing w:after="240" w:line="276" w:lineRule="auto"/>
              <w:jc w:val="both"/>
              <w:rPr>
                <w:lang w:val="sr-Cyrl-RS"/>
              </w:rPr>
            </w:pPr>
            <w:r w:rsidRPr="009D75E3">
              <w:rPr>
                <w:lang w:val="sr-Cyrl-RS"/>
              </w:rPr>
              <w:t>На основу достављених података, укупан број организација цивилног друштва које су укључене у рад повремених радних тела (повремених радних тела чији је мандат у току), која су основана Одлуком Владе Републике Србије а у складу са чланом 22. Пословника Владе („Сл. Гласник РС “ бр 61/2006 – пречишћен текст, 69/2008, 88/2009, 33/2010, 69/2010, 20/2011, 37/2011, 30/2013, 76/2014</w:t>
            </w:r>
            <w:r w:rsidR="0076478F">
              <w:rPr>
                <w:lang w:val="sr-Cyrl-RS"/>
              </w:rPr>
              <w:t>,</w:t>
            </w:r>
            <w:r w:rsidRPr="009D75E3">
              <w:rPr>
                <w:lang w:val="sr-Cyrl-RS"/>
              </w:rPr>
              <w:t xml:space="preserve"> 8/2019 – др. уредба</w:t>
            </w:r>
            <w:r w:rsidR="0076478F">
              <w:rPr>
                <w:lang w:val="sr-Cyrl-RS"/>
              </w:rPr>
              <w:t xml:space="preserve"> и 106/2025</w:t>
            </w:r>
            <w:r w:rsidRPr="009D75E3">
              <w:rPr>
                <w:lang w:val="sr-Cyrl-RS"/>
              </w:rPr>
              <w:t>) на предлог ресорног органа државне управе је 100 ОЦД.</w:t>
            </w:r>
          </w:p>
          <w:p w14:paraId="3264C25D" w14:textId="1FFEC5A6" w:rsidR="00773ADA" w:rsidRPr="00046510" w:rsidRDefault="00773ADA" w:rsidP="00233F77">
            <w:pPr>
              <w:spacing w:after="240" w:line="276" w:lineRule="auto"/>
              <w:jc w:val="both"/>
              <w:rPr>
                <w:lang w:val="sr-Cyrl-RS"/>
              </w:rPr>
            </w:pPr>
          </w:p>
        </w:tc>
      </w:tr>
      <w:tr w:rsidR="009B01B8" w:rsidRPr="00F41CE2" w14:paraId="19DEF32F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E9C8" w14:textId="77777777" w:rsidR="00673ED5" w:rsidRPr="003160B3" w:rsidRDefault="002B6129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lastRenderedPageBreak/>
              <w:t xml:space="preserve">Мера </w:t>
            </w:r>
            <w:r w:rsidR="00673ED5" w:rsidRPr="003160B3">
              <w:rPr>
                <w:rStyle w:val="Strong"/>
              </w:rPr>
              <w:t>1.1: Унапређење правног и институционалног оквира за даљи развој учешћа ОЦД у процесу доношења одлука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6F67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A2C7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7666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</w:tr>
      <w:tr w:rsidR="009B01B8" w:rsidRPr="00F41CE2" w14:paraId="5A77D258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1A88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Удео нацрта закона за које је спроведена јавна расправа у укупном броју предлога закона које је утврдила Влада РС, на годишњем нивоу (%)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9FB0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D2F8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3821" w14:textId="77777777" w:rsidR="00673ED5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046510">
              <w:rPr>
                <w:b/>
              </w:rPr>
              <w:t>Остварено</w:t>
            </w:r>
          </w:p>
          <w:p w14:paraId="15042122" w14:textId="71FF4625" w:rsidR="00046510" w:rsidRPr="00046510" w:rsidRDefault="00046510" w:rsidP="00CF6207">
            <w:pPr>
              <w:spacing w:after="240" w:line="276" w:lineRule="auto"/>
              <w:jc w:val="both"/>
            </w:pPr>
            <w:r w:rsidRPr="00046510">
              <w:t>У 2025. години, Влада је утврдила 64 предлога закона, од чега је за 35 (55%) предлога закона утврђен програм и спроведена јавна расправа. У укупан број предлога закона нису урачунати предлози закона који се односе на зајмове и гаранције  и предлози закона о потврђивању међународних уговора.</w:t>
            </w:r>
          </w:p>
        </w:tc>
      </w:tr>
      <w:tr w:rsidR="009B01B8" w:rsidRPr="00F41CE2" w14:paraId="1867A275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4E43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Удео ДЈП за које је спроведена јавна расправа у укупном броју ДЈП које је донела Влада РС, на годишњем нивоу (%)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4770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917E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67B6" w14:textId="77777777" w:rsidR="00673ED5" w:rsidRPr="000A0F47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0A0F47">
              <w:rPr>
                <w:b/>
              </w:rPr>
              <w:t>Остварено</w:t>
            </w:r>
          </w:p>
          <w:p w14:paraId="5492A242" w14:textId="3B05B632" w:rsidR="00046510" w:rsidRPr="007B26A2" w:rsidRDefault="00046510" w:rsidP="00046510">
            <w:pPr>
              <w:spacing w:after="240" w:line="276" w:lineRule="auto"/>
              <w:jc w:val="both"/>
              <w:rPr>
                <w:lang w:val="sr-Cyrl-RS"/>
              </w:rPr>
            </w:pPr>
            <w:r w:rsidRPr="00046510">
              <w:t>Од дванаест   усвојених докумената јавних политика на Влади, за које је било по</w:t>
            </w:r>
            <w:r w:rsidR="000A0F47">
              <w:t>требно спровести јавну расправу</w:t>
            </w:r>
            <w:r w:rsidRPr="00046510">
              <w:t>, за свих дванаест спроведена је и јавна расправа</w:t>
            </w:r>
            <w:r w:rsidR="00A57351">
              <w:rPr>
                <w:lang w:val="sr-Cyrl-RS"/>
              </w:rPr>
              <w:t>.</w:t>
            </w:r>
          </w:p>
        </w:tc>
      </w:tr>
      <w:tr w:rsidR="009B01B8" w:rsidRPr="00F41CE2" w14:paraId="62CD0FDE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2C3B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Број одржаних седница Савета за стварање подстицајног окружења за развој цивилног друштва,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C971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F77B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CDDF" w14:textId="77777777" w:rsidR="00527E62" w:rsidRPr="000A0F47" w:rsidRDefault="00527E62" w:rsidP="000A0F47">
            <w:pPr>
              <w:pStyle w:val="NormalWeb"/>
              <w:jc w:val="center"/>
              <w:rPr>
                <w:b/>
              </w:rPr>
            </w:pPr>
            <w:r w:rsidRPr="000A0F47">
              <w:rPr>
                <w:b/>
              </w:rPr>
              <w:t>Није остварено.</w:t>
            </w:r>
          </w:p>
          <w:p w14:paraId="728DD9F3" w14:textId="76DCDF28" w:rsidR="00527E62" w:rsidRPr="003160B3" w:rsidRDefault="00527E62" w:rsidP="000A0F47">
            <w:pPr>
              <w:pStyle w:val="NormalWeb"/>
              <w:jc w:val="both"/>
            </w:pPr>
            <w:r w:rsidRPr="003160B3">
              <w:t>Током 2025. године није одржана ни</w:t>
            </w:r>
            <w:r w:rsidR="00674F73" w:rsidRPr="003160B3">
              <w:t xml:space="preserve"> </w:t>
            </w:r>
            <w:r w:rsidRPr="003160B3">
              <w:t>једна седница Савета за стварање подстицајног окружења за развој цивилног друштва. Дана 24. јануара 2025. године Министарство је примило обавештење да организације цивилног друштва</w:t>
            </w:r>
            <w:r w:rsidR="00C3130E">
              <w:t xml:space="preserve"> у наредном периоду неће учествовати у раду и присуствовати седницама Савета, те у том смислу замрзавају своје </w:t>
            </w:r>
            <w:r w:rsidR="00C3130E">
              <w:lastRenderedPageBreak/>
              <w:t>чланство у овом телу Владе Републике Србије.</w:t>
            </w:r>
            <w:r w:rsidRPr="003160B3">
              <w:t xml:space="preserve"> </w:t>
            </w:r>
          </w:p>
          <w:p w14:paraId="0FD7F9ED" w14:textId="77777777" w:rsidR="00C3130E" w:rsidRPr="00C646C6" w:rsidRDefault="00C3130E" w:rsidP="00C3130E">
            <w:pPr>
              <w:pStyle w:val="elementtoproof"/>
              <w:spacing w:before="240" w:after="24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  <w:r w:rsidRPr="00757252">
              <w:rPr>
                <w:rFonts w:ascii="Times New Roman" w:hAnsi="Times New Roman"/>
                <w:lang w:val="sr-Cyrl-RS"/>
              </w:rPr>
              <w:t xml:space="preserve">Министарство је 6. фебруара 2025. упутило јавно саопштење којим је позвало све друштвене актере, нарочито представнике цивилног сектора, да учествују у креирању простора за отворен и равноправан дијалог у нашем друштву, како би у складу са процедурама које Министарству стоје на располагању омогућили функционисање свих механизама који су годинама доприносили комуникацији, сарадњи и разумевању државних органа и организација цивилног друштва, на добробит целокупног нашег друштва.  </w:t>
            </w:r>
          </w:p>
          <w:p w14:paraId="6B9BBB08" w14:textId="77777777" w:rsidR="00C3130E" w:rsidRPr="00757252" w:rsidRDefault="00C3130E" w:rsidP="00C3130E">
            <w:pPr>
              <w:pStyle w:val="elementtoproof"/>
              <w:spacing w:before="240" w:after="240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</w:t>
            </w:r>
            <w:r w:rsidRPr="00757252">
              <w:rPr>
                <w:rFonts w:ascii="Times New Roman" w:hAnsi="Times New Roman"/>
                <w:lang w:val="sr-Cyrl-RS"/>
              </w:rPr>
              <w:t xml:space="preserve">олазећи од чињенице да је Савет кључан механизам сарадње и директног дијалога са цивилним друштвом, на иницијативу министра за људска и мањинска права и друштвени дијалог Д. Берише,  отпочети су директни билатерални састанци са члановима и заменицима чланова Савета, како би се размотрила сва отворена питања. </w:t>
            </w:r>
          </w:p>
          <w:p w14:paraId="50631C1D" w14:textId="77777777" w:rsidR="00C3130E" w:rsidRPr="00757252" w:rsidRDefault="00C3130E" w:rsidP="00C3130E">
            <w:pPr>
              <w:pStyle w:val="elementtoproof"/>
              <w:spacing w:before="240" w:after="240"/>
              <w:jc w:val="both"/>
              <w:rPr>
                <w:rFonts w:ascii="Times New Roman" w:hAnsi="Times New Roman"/>
                <w:lang w:val="sr-Cyrl-RS" w:eastAsia="sr-Cyrl-RS"/>
              </w:rPr>
            </w:pPr>
            <w:r w:rsidRPr="00757252">
              <w:rPr>
                <w:rFonts w:ascii="Times New Roman" w:hAnsi="Times New Roman"/>
                <w:lang w:val="sr-Cyrl-RS"/>
              </w:rPr>
              <w:t xml:space="preserve">Од почетка маја </w:t>
            </w:r>
            <w:r>
              <w:rPr>
                <w:rFonts w:ascii="Times New Roman" w:hAnsi="Times New Roman"/>
                <w:lang w:val="sr-Cyrl-RS"/>
              </w:rPr>
              <w:t>2025. године</w:t>
            </w:r>
            <w:r w:rsidRPr="00757252">
              <w:rPr>
                <w:rFonts w:ascii="Times New Roman" w:hAnsi="Times New Roman"/>
                <w:lang w:val="sr-Cyrl-RS"/>
              </w:rPr>
              <w:t xml:space="preserve"> одржано је више одвојених </w:t>
            </w:r>
            <w:r>
              <w:rPr>
                <w:rFonts w:ascii="Times New Roman" w:hAnsi="Times New Roman"/>
                <w:lang w:val="sr-Cyrl-RS"/>
              </w:rPr>
              <w:t xml:space="preserve">консултативних </w:t>
            </w:r>
            <w:r w:rsidRPr="00757252">
              <w:rPr>
                <w:rFonts w:ascii="Times New Roman" w:hAnsi="Times New Roman"/>
                <w:lang w:val="sr-Cyrl-RS"/>
              </w:rPr>
              <w:t>састанка са председником Савета А. Прицом и 10 одвојених</w:t>
            </w:r>
            <w:r>
              <w:rPr>
                <w:rFonts w:ascii="Times New Roman" w:hAnsi="Times New Roman"/>
                <w:lang w:val="sr-Cyrl-RS"/>
              </w:rPr>
              <w:t xml:space="preserve"> консултативних</w:t>
            </w:r>
            <w:r w:rsidRPr="00757252">
              <w:rPr>
                <w:rFonts w:ascii="Times New Roman" w:hAnsi="Times New Roman"/>
                <w:lang w:val="sr-Cyrl-RS"/>
              </w:rPr>
              <w:t xml:space="preserve"> састанака са </w:t>
            </w:r>
            <w:r w:rsidRPr="00757252">
              <w:rPr>
                <w:rFonts w:ascii="Times New Roman" w:hAnsi="Times New Roman"/>
                <w:lang w:val="sr-Cyrl-RS"/>
              </w:rPr>
              <w:lastRenderedPageBreak/>
              <w:t xml:space="preserve">представницима цивилног друштва, </w:t>
            </w:r>
          </w:p>
          <w:p w14:paraId="053A6845" w14:textId="2D192AAE" w:rsidR="00C3130E" w:rsidRDefault="00C3130E" w:rsidP="00C3130E">
            <w:pPr>
              <w:pStyle w:val="elementtoproof"/>
              <w:spacing w:before="240" w:after="240"/>
              <w:jc w:val="both"/>
              <w:rPr>
                <w:rFonts w:ascii="Times New Roman" w:hAnsi="Times New Roman"/>
                <w:lang w:val="sr-Cyrl-RS"/>
              </w:rPr>
            </w:pPr>
            <w:r w:rsidRPr="00591A80">
              <w:rPr>
                <w:rFonts w:ascii="Times New Roman" w:hAnsi="Times New Roman"/>
                <w:lang w:val="sr-Cyrl-RS"/>
              </w:rPr>
              <w:t xml:space="preserve">Након одржаних билатералих и заједничког састанка са члановима Савета, чланови Савета и њихови заменици из реда цивилног друштва извршили су интерне консултације са представницима цивилног сектора  </w:t>
            </w:r>
            <w:r>
              <w:rPr>
                <w:rFonts w:ascii="Times New Roman" w:hAnsi="Times New Roman"/>
                <w:lang w:val="sr-Cyrl-RS"/>
              </w:rPr>
              <w:t>2025. године</w:t>
            </w:r>
            <w:r w:rsidRPr="00757252">
              <w:rPr>
                <w:rFonts w:ascii="Times New Roman" w:hAnsi="Times New Roman"/>
                <w:lang w:val="sr-Cyrl-RS"/>
              </w:rPr>
              <w:t xml:space="preserve"> доставили су Министарству „Предлог мера које је неопходно испунити ради одмрзавања статуса чланова Савета за стварање подстицајног окружења за развој цивилног друштва из редова организација цивилног друштва“</w:t>
            </w:r>
            <w:r w:rsidR="002825D7">
              <w:rPr>
                <w:rFonts w:ascii="Times New Roman" w:hAnsi="Times New Roman"/>
                <w:lang w:val="sr-Cyrl-RS"/>
              </w:rPr>
              <w:t xml:space="preserve"> ће бити предмет разматрања</w:t>
            </w:r>
            <w:r w:rsidRPr="00757252">
              <w:rPr>
                <w:rFonts w:ascii="Times New Roman" w:hAnsi="Times New Roman"/>
                <w:lang w:val="sr-Cyrl-RS"/>
              </w:rPr>
              <w:t xml:space="preserve">. </w:t>
            </w:r>
          </w:p>
          <w:p w14:paraId="3344EC56" w14:textId="77777777" w:rsidR="00C3130E" w:rsidRPr="003160B3" w:rsidRDefault="00C3130E" w:rsidP="000A0F47">
            <w:pPr>
              <w:pStyle w:val="NormalWeb"/>
              <w:jc w:val="both"/>
            </w:pPr>
          </w:p>
          <w:p w14:paraId="0B8E07C7" w14:textId="77777777" w:rsidR="00673ED5" w:rsidRPr="003160B3" w:rsidRDefault="00673ED5" w:rsidP="000A0F47">
            <w:pPr>
              <w:spacing w:after="240" w:line="276" w:lineRule="auto"/>
              <w:jc w:val="both"/>
              <w:rPr>
                <w:sz w:val="16"/>
                <w:szCs w:val="16"/>
              </w:rPr>
            </w:pPr>
          </w:p>
        </w:tc>
      </w:tr>
      <w:tr w:rsidR="009B01B8" w:rsidRPr="00F41CE2" w14:paraId="61E94E44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8CA" w14:textId="77777777" w:rsidR="00673ED5" w:rsidRPr="003160B3" w:rsidRDefault="002B6129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lastRenderedPageBreak/>
              <w:t xml:space="preserve">Мера </w:t>
            </w:r>
            <w:r w:rsidR="00673ED5" w:rsidRPr="003160B3">
              <w:rPr>
                <w:rStyle w:val="Strong"/>
              </w:rPr>
              <w:t>1.2: Унапређење капацитета органа јавне управе за укључивање ОЦД у процес израде, примене, праћења примене и вредновања ефеката јавних политика и прописа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1DC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B517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0A0C" w14:textId="77777777" w:rsidR="00673ED5" w:rsidRPr="003160B3" w:rsidRDefault="00673ED5" w:rsidP="003160B3">
            <w:pPr>
              <w:spacing w:after="24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B01B8" w:rsidRPr="00F41CE2" w14:paraId="5E5451CF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73B9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 xml:space="preserve">Број спроведених обука за запослене у органима јавне управе о укључивању ОЦД у процес израде, примене, праћења примене и вредновања ефеката јавних политика и </w:t>
            </w:r>
            <w:r w:rsidRPr="003160B3">
              <w:lastRenderedPageBreak/>
              <w:t>прописа,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6510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DD05" w14:textId="2A6A5D48" w:rsidR="00673ED5" w:rsidRPr="003160B3" w:rsidRDefault="004D0CC1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EA39" w14:textId="77777777" w:rsidR="00673ED5" w:rsidRPr="008667FE" w:rsidRDefault="00B95C3E" w:rsidP="003160B3">
            <w:pPr>
              <w:spacing w:after="240" w:line="276" w:lineRule="auto"/>
              <w:jc w:val="center"/>
              <w:rPr>
                <w:b/>
              </w:rPr>
            </w:pPr>
            <w:r w:rsidRPr="008667FE">
              <w:rPr>
                <w:b/>
                <w:lang w:val="sr-Cyrl-RS"/>
              </w:rPr>
              <w:t>О</w:t>
            </w:r>
            <w:r w:rsidR="00673ED5" w:rsidRPr="008667FE">
              <w:rPr>
                <w:b/>
              </w:rPr>
              <w:t>стварено</w:t>
            </w:r>
          </w:p>
          <w:p w14:paraId="7CC8E5CF" w14:textId="2C912451" w:rsidR="009D75E3" w:rsidRDefault="00B72B5F" w:rsidP="009D75E3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Национална Академија за јавну управу (</w:t>
            </w:r>
            <w:r w:rsidR="00B24AE2">
              <w:rPr>
                <w:lang w:val="sr-Cyrl-RS"/>
              </w:rPr>
              <w:t>НАЈУ</w:t>
            </w:r>
            <w:r>
              <w:rPr>
                <w:lang w:val="sr-Cyrl-RS"/>
              </w:rPr>
              <w:t>)</w:t>
            </w:r>
            <w:r w:rsidR="00B24AE2">
              <w:rPr>
                <w:lang w:val="sr-Cyrl-RS"/>
              </w:rPr>
              <w:t xml:space="preserve"> </w:t>
            </w:r>
            <w:r w:rsidR="00047B8D">
              <w:rPr>
                <w:lang w:val="sr-Cyrl-RS"/>
              </w:rPr>
              <w:t xml:space="preserve">реализовала је </w:t>
            </w:r>
            <w:r w:rsidR="00527E62" w:rsidRPr="008667FE">
              <w:t xml:space="preserve"> </w:t>
            </w:r>
            <w:r w:rsidR="00047B8D">
              <w:rPr>
                <w:lang w:val="sr-Cyrl-RS"/>
              </w:rPr>
              <w:t xml:space="preserve">2 </w:t>
            </w:r>
            <w:r w:rsidR="00527E62" w:rsidRPr="008667FE">
              <w:t>обук</w:t>
            </w:r>
            <w:r w:rsidR="00047B8D">
              <w:rPr>
                <w:lang w:val="sr-Cyrl-RS"/>
              </w:rPr>
              <w:t>е за</w:t>
            </w:r>
            <w:r w:rsidR="00047B8D">
              <w:t xml:space="preserve"> орган</w:t>
            </w:r>
            <w:r w:rsidR="00047B8D">
              <w:rPr>
                <w:lang w:val="sr-Cyrl-RS"/>
              </w:rPr>
              <w:t>е</w:t>
            </w:r>
            <w:r w:rsidR="00527E62" w:rsidRPr="008667FE">
              <w:t xml:space="preserve"> јавне управе о укључивању </w:t>
            </w:r>
            <w:r w:rsidR="00A204AD">
              <w:rPr>
                <w:lang w:val="sr-Cyrl-RS"/>
              </w:rPr>
              <w:t>организација цивилног друштва</w:t>
            </w:r>
            <w:r w:rsidR="00527E62" w:rsidRPr="008667FE">
              <w:t xml:space="preserve"> у процес </w:t>
            </w:r>
            <w:r w:rsidR="00527E62" w:rsidRPr="008667FE">
              <w:lastRenderedPageBreak/>
              <w:t xml:space="preserve">израде, примене, праћења примене и вредновања ефеката јавних политика и прописа, </w:t>
            </w:r>
            <w:r w:rsidR="009D75E3">
              <w:rPr>
                <w:lang w:val="sr-Cyrl-RS"/>
              </w:rPr>
              <w:t xml:space="preserve">уз </w:t>
            </w:r>
            <w:r w:rsidR="00527E62" w:rsidRPr="008667FE">
              <w:t>учешће Организације за европску безбедност и сарадњу у Србији (ОЕБС)  у реализацији обука за ниво јединица локалне самоуправе у оквиру Секторског програма континуираног стручног усавршавања</w:t>
            </w:r>
            <w:r w:rsidR="000B5FF1" w:rsidRPr="008667FE">
              <w:rPr>
                <w:lang w:val="sr-Cyrl-RS"/>
              </w:rPr>
              <w:t>.</w:t>
            </w:r>
            <w:r w:rsidR="00B24AE2">
              <w:rPr>
                <w:lang w:val="sr-Cyrl-RS"/>
              </w:rPr>
              <w:t xml:space="preserve"> </w:t>
            </w:r>
          </w:p>
          <w:p w14:paraId="415E6BA4" w14:textId="159001D3" w:rsidR="00527E62" w:rsidRPr="00C760AD" w:rsidRDefault="000B5FF1" w:rsidP="00755847">
            <w:pPr>
              <w:spacing w:after="240" w:line="276" w:lineRule="auto"/>
              <w:jc w:val="both"/>
            </w:pPr>
            <w:r w:rsidRPr="008667FE">
              <w:rPr>
                <w:lang w:val="sr-Cyrl-RS"/>
              </w:rPr>
              <w:t>Министарство</w:t>
            </w:r>
            <w:r w:rsidR="00B24AE2">
              <w:rPr>
                <w:lang w:val="sr-Cyrl-RS"/>
              </w:rPr>
              <w:t xml:space="preserve"> </w:t>
            </w:r>
            <w:r w:rsidRPr="008667FE">
              <w:rPr>
                <w:lang w:val="sr-Cyrl-RS"/>
              </w:rPr>
              <w:t xml:space="preserve">је у сарадњи са СКГО организовало </w:t>
            </w:r>
            <w:r w:rsidR="004D0CC1" w:rsidRPr="008667FE">
              <w:rPr>
                <w:lang w:val="sr-Cyrl-RS"/>
              </w:rPr>
              <w:t>две</w:t>
            </w:r>
            <w:r w:rsidRPr="008667FE">
              <w:rPr>
                <w:lang w:val="sr-Cyrl-RS"/>
              </w:rPr>
              <w:t xml:space="preserve"> обуке на тему</w:t>
            </w:r>
            <w:r w:rsidR="00804C19" w:rsidRPr="008667FE">
              <w:rPr>
                <w:lang w:val="sr-Cyrl-RS"/>
              </w:rPr>
              <w:t xml:space="preserve"> </w:t>
            </w:r>
            <w:r w:rsidRPr="008667FE">
              <w:rPr>
                <w:lang w:val="sr-Cyrl-RS"/>
              </w:rPr>
              <w:t>“</w:t>
            </w:r>
            <w:r w:rsidR="004D0CC1" w:rsidRPr="008667FE">
              <w:rPr>
                <w:lang w:val="sr-Cyrl-RS"/>
              </w:rPr>
              <w:t>Сарадња са организацијама цивилног друштва</w:t>
            </w:r>
            <w:r w:rsidRPr="008667FE">
              <w:rPr>
                <w:lang w:val="sr-Cyrl-RS"/>
              </w:rPr>
              <w:t xml:space="preserve">“ у </w:t>
            </w:r>
            <w:r w:rsidR="004D0CC1" w:rsidRPr="008667FE">
              <w:rPr>
                <w:lang w:val="sr-Cyrl-RS"/>
              </w:rPr>
              <w:t>терминима: 30</w:t>
            </w:r>
            <w:r w:rsidRPr="008667FE">
              <w:rPr>
                <w:lang w:val="sr-Cyrl-RS"/>
              </w:rPr>
              <w:t>. октобра  и 4. новембра</w:t>
            </w:r>
            <w:r w:rsidR="00083FCC">
              <w:rPr>
                <w:lang w:val="sr-Cyrl-RS"/>
              </w:rPr>
              <w:t>.</w:t>
            </w:r>
          </w:p>
        </w:tc>
      </w:tr>
      <w:tr w:rsidR="009B01B8" w:rsidRPr="00F41CE2" w14:paraId="759559AF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6D3B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Број запослених у органима јавне управе који су обучени за укључивање ОЦД у процес израде, примене, праћења примене и вредновања ефеката јавних политика и прописа,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5403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E049" w14:textId="50F95256" w:rsidR="00673ED5" w:rsidRPr="003160B3" w:rsidRDefault="00593CBA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519F" w14:textId="77777777" w:rsidR="00673ED5" w:rsidRPr="008667FE" w:rsidRDefault="00527E62" w:rsidP="003160B3">
            <w:pPr>
              <w:spacing w:after="240" w:line="276" w:lineRule="auto"/>
              <w:jc w:val="center"/>
              <w:rPr>
                <w:b/>
              </w:rPr>
            </w:pPr>
            <w:r w:rsidRPr="008667FE">
              <w:rPr>
                <w:b/>
                <w:lang w:val="sr-Cyrl-RS"/>
              </w:rPr>
              <w:t>О</w:t>
            </w:r>
            <w:r w:rsidR="00673ED5" w:rsidRPr="008667FE">
              <w:rPr>
                <w:b/>
              </w:rPr>
              <w:t>стварено</w:t>
            </w:r>
          </w:p>
          <w:p w14:paraId="12021968" w14:textId="50A2B93E" w:rsidR="00A31040" w:rsidRPr="008667FE" w:rsidRDefault="00A31040" w:rsidP="00755847">
            <w:pPr>
              <w:spacing w:after="240" w:line="276" w:lineRule="auto"/>
              <w:jc w:val="both"/>
              <w:rPr>
                <w:lang w:val="sr-Cyrl-RS"/>
              </w:rPr>
            </w:pPr>
            <w:r w:rsidRPr="008667FE">
              <w:rPr>
                <w:lang w:val="sr-Cyrl-RS"/>
              </w:rPr>
              <w:t xml:space="preserve">Обуке </w:t>
            </w:r>
            <w:r w:rsidR="00C23256">
              <w:rPr>
                <w:lang w:val="sr-Cyrl-RS"/>
              </w:rPr>
              <w:t xml:space="preserve">које је реализовао Министарство у сарадњи са </w:t>
            </w:r>
            <w:r w:rsidR="00C23256" w:rsidRPr="008667FE">
              <w:rPr>
                <w:lang w:val="sr-Cyrl-RS"/>
              </w:rPr>
              <w:t xml:space="preserve">Сталном конференцијом градова и општина </w:t>
            </w:r>
            <w:r w:rsidRPr="008667FE">
              <w:rPr>
                <w:lang w:val="sr-Cyrl-RS"/>
              </w:rPr>
              <w:t xml:space="preserve">на тему </w:t>
            </w:r>
            <w:r w:rsidR="00804C19" w:rsidRPr="008667FE">
              <w:rPr>
                <w:lang w:val="sr-Cyrl-RS"/>
              </w:rPr>
              <w:t xml:space="preserve">“Сарадња са организацијама цивилног друштва“ у терминима: 30. октобра  и 4. новембра </w:t>
            </w:r>
            <w:r w:rsidRPr="008667FE">
              <w:rPr>
                <w:lang w:val="sr-Cyrl-RS"/>
              </w:rPr>
              <w:t xml:space="preserve">у </w:t>
            </w:r>
            <w:r w:rsidR="00C22F5B">
              <w:rPr>
                <w:lang w:val="sr-Cyrl-RS"/>
              </w:rPr>
              <w:t>обухватиле су</w:t>
            </w:r>
            <w:r w:rsidR="00804C19" w:rsidRPr="008667FE">
              <w:rPr>
                <w:lang w:val="sr-Cyrl-RS"/>
              </w:rPr>
              <w:t xml:space="preserve"> 63 учесника . </w:t>
            </w:r>
            <w:r w:rsidR="009D38AA">
              <w:rPr>
                <w:lang w:val="sr-Cyrl-RS"/>
              </w:rPr>
              <w:t>Две о</w:t>
            </w:r>
            <w:r w:rsidR="00C22F5B">
              <w:rPr>
                <w:lang w:val="sr-Cyrl-RS"/>
              </w:rPr>
              <w:t>буке одржане у оквиру НАЈУ</w:t>
            </w:r>
            <w:r w:rsidR="00C22F5B" w:rsidRPr="008667FE">
              <w:rPr>
                <w:lang w:val="sr-Cyrl-RS"/>
              </w:rPr>
              <w:t xml:space="preserve"> </w:t>
            </w:r>
            <w:r w:rsidR="00C22F5B">
              <w:rPr>
                <w:lang w:val="sr-Cyrl-RS"/>
              </w:rPr>
              <w:t xml:space="preserve">обухватиле су </w:t>
            </w:r>
            <w:r w:rsidR="00804C19" w:rsidRPr="008667FE">
              <w:rPr>
                <w:lang w:val="sr-Cyrl-RS"/>
              </w:rPr>
              <w:t xml:space="preserve"> </w:t>
            </w:r>
            <w:r w:rsidR="00593CBA" w:rsidRPr="008667FE">
              <w:rPr>
                <w:lang w:val="sr-Cyrl-RS"/>
              </w:rPr>
              <w:t>45</w:t>
            </w:r>
            <w:r w:rsidR="00804C19" w:rsidRPr="008667FE">
              <w:rPr>
                <w:lang w:val="sr-Cyrl-RS"/>
              </w:rPr>
              <w:t xml:space="preserve"> полазника</w:t>
            </w:r>
            <w:r w:rsidR="00C22F5B">
              <w:rPr>
                <w:lang w:val="sr-Cyrl-RS"/>
              </w:rPr>
              <w:t>.</w:t>
            </w:r>
          </w:p>
        </w:tc>
      </w:tr>
      <w:tr w:rsidR="009B01B8" w:rsidRPr="00F41CE2" w14:paraId="6DED78E7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8389" w14:textId="77777777" w:rsidR="00673ED5" w:rsidRPr="003160B3" w:rsidRDefault="002B6129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t xml:space="preserve">Мера </w:t>
            </w:r>
            <w:r w:rsidR="00673ED5" w:rsidRPr="003160B3">
              <w:rPr>
                <w:rStyle w:val="Strong"/>
              </w:rPr>
              <w:t xml:space="preserve">1.3: Унапређење капацитета ОЦД за разумевање улоге, надлежности и функција јавне </w:t>
            </w:r>
            <w:r w:rsidR="00673ED5" w:rsidRPr="003160B3">
              <w:rPr>
                <w:rStyle w:val="Strong"/>
              </w:rPr>
              <w:lastRenderedPageBreak/>
              <w:t>управе и учешћа у поступку израде, примене, праћења примене и вредновања докумената јавних политика и прописа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0D70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6677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8D6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</w:tr>
      <w:tr w:rsidR="009B01B8" w:rsidRPr="00F41CE2" w14:paraId="3CBEF98C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3AD7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Број обучених представника ОЦД на годишњем нивоу на тему укључивања ОЦД у процес израде, примене и праћење примена јавне политике и вредновање ефеката прописа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2CF0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BD12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12C3" w14:textId="15496B67" w:rsidR="00673ED5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A31040">
              <w:rPr>
                <w:b/>
              </w:rPr>
              <w:t>Није остварено</w:t>
            </w:r>
          </w:p>
          <w:p w14:paraId="4C12D617" w14:textId="42D7A8C5" w:rsidR="00501675" w:rsidRPr="007B26A2" w:rsidRDefault="00A57351" w:rsidP="007B26A2">
            <w:pPr>
              <w:pStyle w:val="BodyText"/>
              <w:spacing w:line="268" w:lineRule="auto"/>
              <w:ind w:right="132" w:firstLine="698"/>
              <w:jc w:val="both"/>
              <w:rPr>
                <w:lang w:val="sr-Cyrl-RS"/>
              </w:rPr>
            </w:pPr>
            <w:r w:rsidRPr="007B26A2">
              <w:rPr>
                <w:lang w:val="sr-Cyrl-RS"/>
              </w:rPr>
              <w:t>Током 2025.</w:t>
            </w:r>
            <w:r w:rsidR="009D38AA">
              <w:rPr>
                <w:lang w:val="sr-Cyrl-RS"/>
              </w:rPr>
              <w:t xml:space="preserve"> </w:t>
            </w:r>
            <w:r w:rsidRPr="007B26A2">
              <w:rPr>
                <w:lang w:val="sr-Cyrl-RS"/>
              </w:rPr>
              <w:t xml:space="preserve">године Министарство </w:t>
            </w:r>
            <w:r w:rsidR="00755847" w:rsidRPr="00501675">
              <w:rPr>
                <w:lang w:val="sr-Cyrl-RS"/>
              </w:rPr>
              <w:t xml:space="preserve">је </w:t>
            </w:r>
            <w:r w:rsidR="00501675" w:rsidRPr="00501675">
              <w:rPr>
                <w:lang w:val="sr-Cyrl-RS"/>
              </w:rPr>
              <w:t>расписало Јавни конкурс</w:t>
            </w:r>
            <w:r w:rsidRPr="007B26A2">
              <w:rPr>
                <w:lang w:val="sr-Cyrl-RS"/>
              </w:rPr>
              <w:t xml:space="preserve"> </w:t>
            </w:r>
            <w:r w:rsidR="00501675" w:rsidRPr="00E96CBC">
              <w:t>за подизање капацитет</w:t>
            </w:r>
            <w:r w:rsidR="00501675">
              <w:t>а организација цивилног друштва</w:t>
            </w:r>
            <w:r w:rsidR="00501675" w:rsidRPr="00E96CBC">
              <w:t xml:space="preserve"> за укључивање у законодавни </w:t>
            </w:r>
            <w:r w:rsidR="00501675">
              <w:rPr>
                <w:lang w:val="sr-Cyrl-RS"/>
              </w:rPr>
              <w:t xml:space="preserve">процес. Јавни конкурс </w:t>
            </w:r>
            <w:r w:rsidR="00501675">
              <w:t xml:space="preserve"> расписан</w:t>
            </w:r>
            <w:r w:rsidR="00501675">
              <w:rPr>
                <w:lang w:val="sr-Cyrl-RS"/>
              </w:rPr>
              <w:t xml:space="preserve"> је</w:t>
            </w:r>
            <w:r w:rsidR="00501675">
              <w:t xml:space="preserve"> за </w:t>
            </w:r>
            <w:r w:rsidR="00501675">
              <w:rPr>
                <w:lang w:val="sr-Cyrl-RS"/>
              </w:rPr>
              <w:t xml:space="preserve">подршку пројеката </w:t>
            </w:r>
            <w:r w:rsidR="00501675">
              <w:t>подизањ</w:t>
            </w:r>
            <w:r w:rsidR="00112835">
              <w:rPr>
                <w:lang w:val="sr-Cyrl-RS"/>
              </w:rPr>
              <w:t>а</w:t>
            </w:r>
            <w:r w:rsidR="00501675" w:rsidRPr="00E96CBC">
              <w:t xml:space="preserve"> капацитета</w:t>
            </w:r>
            <w:r w:rsidR="00501675">
              <w:rPr>
                <w:lang w:val="sr-Cyrl-RS"/>
              </w:rPr>
              <w:t xml:space="preserve"> </w:t>
            </w:r>
            <w:r w:rsidR="00501675" w:rsidRPr="00E96CBC">
              <w:t xml:space="preserve">организација цивилног друштва </w:t>
            </w:r>
            <w:r w:rsidR="00501675">
              <w:rPr>
                <w:lang w:val="sr-Cyrl-RS"/>
              </w:rPr>
              <w:t xml:space="preserve">како би се обезбедио њихово </w:t>
            </w:r>
            <w:r w:rsidR="00501675" w:rsidRPr="00E96CBC">
              <w:t>квалитетније</w:t>
            </w:r>
            <w:r w:rsidR="00501675">
              <w:rPr>
                <w:lang w:val="sr-Cyrl-RS"/>
              </w:rPr>
              <w:t xml:space="preserve"> </w:t>
            </w:r>
            <w:r w:rsidR="00501675" w:rsidRPr="00E96CBC">
              <w:t xml:space="preserve"> учешћ</w:t>
            </w:r>
            <w:r w:rsidR="00501675">
              <w:rPr>
                <w:lang w:val="sr-Cyrl-RS"/>
              </w:rPr>
              <w:t xml:space="preserve">е </w:t>
            </w:r>
            <w:r w:rsidR="00501675" w:rsidRPr="00E96CBC">
              <w:t xml:space="preserve"> у процесу израде и праћења спровођења докумената јавних политика и прописа</w:t>
            </w:r>
            <w:r w:rsidR="00501675">
              <w:rPr>
                <w:lang w:val="sr-Cyrl-RS"/>
              </w:rPr>
              <w:t>.  Реализација пројеката к</w:t>
            </w:r>
            <w:r w:rsidR="00112835">
              <w:rPr>
                <w:lang w:val="sr-Cyrl-RS"/>
              </w:rPr>
              <w:t>о</w:t>
            </w:r>
            <w:r w:rsidR="00501675">
              <w:rPr>
                <w:lang w:val="sr-Cyrl-RS"/>
              </w:rPr>
              <w:t xml:space="preserve">ји обухватају обуке за организације цивилног друштва за учешће у законодавном процесу је отпочела у 2025. години и обухватала је припремне активности за реализацију обука, док су </w:t>
            </w:r>
            <w:r w:rsidR="00501675">
              <w:t xml:space="preserve"> </w:t>
            </w:r>
            <w:r w:rsidR="00501675">
              <w:rPr>
                <w:lang w:val="sr-Cyrl-RS"/>
              </w:rPr>
              <w:t>саме обуке</w:t>
            </w:r>
            <w:r w:rsidR="00990713">
              <w:rPr>
                <w:lang w:val="sr-Cyrl-RS"/>
              </w:rPr>
              <w:t xml:space="preserve"> планиране за реализацију </w:t>
            </w:r>
            <w:r w:rsidR="00501675">
              <w:rPr>
                <w:lang w:val="sr-Cyrl-RS"/>
              </w:rPr>
              <w:t>почетк</w:t>
            </w:r>
            <w:r w:rsidR="00990713">
              <w:rPr>
                <w:lang w:val="sr-Cyrl-RS"/>
              </w:rPr>
              <w:t>ом</w:t>
            </w:r>
            <w:r w:rsidR="00501675">
              <w:rPr>
                <w:lang w:val="sr-Cyrl-RS"/>
              </w:rPr>
              <w:t xml:space="preserve"> 2026. године.</w:t>
            </w:r>
          </w:p>
          <w:p w14:paraId="3CAA17B3" w14:textId="42AC1F92" w:rsidR="00A57351" w:rsidRPr="00A57351" w:rsidRDefault="00A57351" w:rsidP="003160B3">
            <w:pPr>
              <w:spacing w:after="240" w:line="276" w:lineRule="auto"/>
              <w:jc w:val="center"/>
              <w:rPr>
                <w:b/>
                <w:lang w:val="sr-Cyrl-RS"/>
              </w:rPr>
            </w:pPr>
          </w:p>
          <w:p w14:paraId="175897A9" w14:textId="6BE5906D" w:rsidR="00527E62" w:rsidRPr="003160B3" w:rsidRDefault="00527E62" w:rsidP="00F07055">
            <w:pPr>
              <w:spacing w:after="240" w:line="276" w:lineRule="auto"/>
              <w:jc w:val="both"/>
              <w:rPr>
                <w:lang w:val="sr-Cyrl-RS"/>
              </w:rPr>
            </w:pPr>
          </w:p>
        </w:tc>
      </w:tr>
      <w:tr w:rsidR="009B01B8" w:rsidRPr="00F41CE2" w14:paraId="2C7477D5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50D2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Број спроведених обука, на годишњем нивоу, за ОЦД за разумевање улоге, надлежности и функција јавне управе и учешћа у поступку израде, примене, праћења примена и вредновања докумената јавних политика и прописа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3D69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DD07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475C" w14:textId="438EEFA3" w:rsidR="00673ED5" w:rsidRDefault="00673ED5" w:rsidP="00A31040">
            <w:pPr>
              <w:spacing w:after="240" w:line="276" w:lineRule="auto"/>
              <w:jc w:val="center"/>
              <w:rPr>
                <w:b/>
              </w:rPr>
            </w:pPr>
            <w:r w:rsidRPr="00A31040">
              <w:rPr>
                <w:b/>
              </w:rPr>
              <w:t>Није остварено</w:t>
            </w:r>
          </w:p>
          <w:p w14:paraId="4ABF6AE4" w14:textId="07CD13EE" w:rsidR="00527E62" w:rsidRPr="003160B3" w:rsidRDefault="00990713" w:rsidP="00C22F5B">
            <w:pPr>
              <w:spacing w:after="240" w:line="276" w:lineRule="auto"/>
              <w:jc w:val="both"/>
            </w:pPr>
            <w:r w:rsidRPr="00796784">
              <w:rPr>
                <w:lang w:val="sr-Cyrl-RS"/>
              </w:rPr>
              <w:t>Планиране обуке за представнике организација цивилног друштва нису реализоване током 2025.</w:t>
            </w:r>
            <w:r w:rsidR="009D38AA">
              <w:rPr>
                <w:lang w:val="sr-Cyrl-RS"/>
              </w:rPr>
              <w:t xml:space="preserve"> </w:t>
            </w:r>
            <w:r w:rsidRPr="00796784">
              <w:rPr>
                <w:lang w:val="sr-Cyrl-RS"/>
              </w:rPr>
              <w:t xml:space="preserve">године али се њихова реализација очекује током 2026. године. </w:t>
            </w:r>
            <w:r>
              <w:rPr>
                <w:lang w:val="sr-Cyrl-RS"/>
              </w:rPr>
              <w:t>У оквиру одобрених пројеката који подразумевају обуке за  ОЦД за подизање капацитета</w:t>
            </w:r>
            <w:r w:rsidR="00112835">
              <w:rPr>
                <w:lang w:val="sr-Cyrl-RS"/>
              </w:rPr>
              <w:t xml:space="preserve"> за учешће у законодавном процесу, планирано је укупно </w:t>
            </w:r>
            <w:r w:rsidR="00C22F5B">
              <w:rPr>
                <w:lang w:val="sr-Cyrl-RS"/>
              </w:rPr>
              <w:t>3</w:t>
            </w:r>
            <w:r w:rsidR="00112835">
              <w:rPr>
                <w:lang w:val="sr-Cyrl-RS"/>
              </w:rPr>
              <w:t xml:space="preserve"> дводневне обуке, за око 40 представника ОЦД. </w:t>
            </w:r>
          </w:p>
        </w:tc>
      </w:tr>
      <w:tr w:rsidR="009B01B8" w:rsidRPr="00F41CE2" w14:paraId="0C4475D7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F967" w14:textId="77777777" w:rsidR="00673ED5" w:rsidRPr="003160B3" w:rsidRDefault="002B6129" w:rsidP="003160B3">
            <w:pPr>
              <w:spacing w:after="240" w:line="276" w:lineRule="auto"/>
              <w:jc w:val="center"/>
            </w:pPr>
            <w:r w:rsidRPr="003160B3">
              <w:rPr>
                <w:rStyle w:val="Strong"/>
              </w:rPr>
              <w:t xml:space="preserve">Мера </w:t>
            </w:r>
            <w:r w:rsidR="00673ED5" w:rsidRPr="003160B3">
              <w:rPr>
                <w:rStyle w:val="Strong"/>
              </w:rPr>
              <w:t>1.4: Унапређење слике цивилног сектора у медијима и јавности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A1C9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6CCB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7A3E" w14:textId="77777777" w:rsidR="00673ED5" w:rsidRPr="003160B3" w:rsidRDefault="00673ED5" w:rsidP="003160B3">
            <w:pPr>
              <w:spacing w:after="240" w:line="276" w:lineRule="auto"/>
              <w:jc w:val="center"/>
            </w:pPr>
          </w:p>
        </w:tc>
      </w:tr>
      <w:tr w:rsidR="009B01B8" w:rsidRPr="00F41CE2" w14:paraId="3B6DE63F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805D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Број подржаних пројеката производње медијских садржаја на конкурсима у области јавног информисања,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FA9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01FF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80B" w14:textId="77777777" w:rsidR="00673ED5" w:rsidRPr="00A31040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A31040">
              <w:rPr>
                <w:b/>
              </w:rPr>
              <w:t>Остварено</w:t>
            </w:r>
          </w:p>
          <w:p w14:paraId="151400C3" w14:textId="5A58903B" w:rsidR="00A31040" w:rsidRPr="003160B3" w:rsidRDefault="00A31040" w:rsidP="00A31040">
            <w:pPr>
              <w:spacing w:after="240" w:line="276" w:lineRule="auto"/>
              <w:jc w:val="both"/>
            </w:pPr>
            <w:r w:rsidRPr="00A31040">
              <w:t>Министарство информисања и телекомуникација је приликом расписивања конкурса из области јавног информи</w:t>
            </w:r>
            <w:r w:rsidR="009D75E3">
              <w:t xml:space="preserve">сања у 2025. години као ближи, </w:t>
            </w:r>
            <w:r w:rsidR="009D75E3">
              <w:rPr>
                <w:lang w:val="sr-Cyrl-RS"/>
              </w:rPr>
              <w:t>в</w:t>
            </w:r>
            <w:r w:rsidRPr="00A31040">
              <w:t>ре</w:t>
            </w:r>
            <w:r w:rsidR="002B0E92">
              <w:t>дносни критеријум навело тему "</w:t>
            </w:r>
            <w:r w:rsidR="002B0E92">
              <w:rPr>
                <w:lang w:val="sr-Cyrl-RS"/>
              </w:rPr>
              <w:t>У</w:t>
            </w:r>
            <w:r w:rsidRPr="00A31040">
              <w:t>лога и значај цивилног друштва". Да медијске садржаје на ову тему произведу и емитују определило се 8 учесника на конкурсу.</w:t>
            </w:r>
          </w:p>
        </w:tc>
      </w:tr>
      <w:tr w:rsidR="009B01B8" w:rsidRPr="00F41CE2" w14:paraId="68861C13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B94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 xml:space="preserve">Број произведених медијских </w:t>
            </w:r>
            <w:r w:rsidRPr="003160B3">
              <w:lastRenderedPageBreak/>
              <w:t>садржаја о активностима ОЦД у медијима, на годишњем нивоу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6454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C0C2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C5F2" w14:textId="77777777" w:rsidR="00673ED5" w:rsidRPr="00A31040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A31040">
              <w:rPr>
                <w:b/>
              </w:rPr>
              <w:t>Остварено</w:t>
            </w:r>
          </w:p>
          <w:p w14:paraId="66D084DE" w14:textId="7A95B369" w:rsidR="00A31040" w:rsidRPr="00A31040" w:rsidRDefault="00A31040" w:rsidP="00B209BB">
            <w:pPr>
              <w:spacing w:after="240" w:line="276" w:lineRule="auto"/>
              <w:jc w:val="both"/>
            </w:pPr>
          </w:p>
        </w:tc>
      </w:tr>
      <w:tr w:rsidR="009B01B8" w:rsidRPr="00F41CE2" w14:paraId="148DCA81" w14:textId="77777777" w:rsidTr="00A204AD">
        <w:trPr>
          <w:tblCellSpacing w:w="15" w:type="dxa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0686" w14:textId="77777777" w:rsidR="00673ED5" w:rsidRPr="003160B3" w:rsidRDefault="00673ED5" w:rsidP="003160B3">
            <w:pPr>
              <w:spacing w:after="240" w:line="276" w:lineRule="auto"/>
              <w:jc w:val="center"/>
            </w:pPr>
            <w:r w:rsidRPr="003160B3">
              <w:lastRenderedPageBreak/>
              <w:t>Број институција, ОЦД и медија на годишњем нивоу, укључених у друштвене дијалоге на тему унапређења слике ОЦД у јавности (број)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4C06" w14:textId="77777777" w:rsidR="00673ED5" w:rsidRPr="00B9449F" w:rsidRDefault="00673ED5" w:rsidP="003160B3">
            <w:pPr>
              <w:spacing w:after="240" w:line="276" w:lineRule="auto"/>
              <w:jc w:val="center"/>
            </w:pPr>
            <w:r w:rsidRPr="00B9449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5A12" w14:textId="77777777" w:rsidR="00673ED5" w:rsidRPr="00B9449F" w:rsidRDefault="00673ED5" w:rsidP="003160B3">
            <w:pPr>
              <w:spacing w:after="240" w:line="276" w:lineRule="auto"/>
              <w:jc w:val="center"/>
            </w:pPr>
            <w:r w:rsidRPr="00B9449F"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40D9" w14:textId="77777777" w:rsidR="00673ED5" w:rsidRPr="00B9449F" w:rsidRDefault="00673ED5" w:rsidP="003160B3">
            <w:pPr>
              <w:spacing w:after="240" w:line="276" w:lineRule="auto"/>
              <w:jc w:val="center"/>
              <w:rPr>
                <w:b/>
              </w:rPr>
            </w:pPr>
            <w:r w:rsidRPr="00B9449F">
              <w:rPr>
                <w:b/>
              </w:rPr>
              <w:t>Остварено</w:t>
            </w:r>
          </w:p>
          <w:p w14:paraId="066CBCA5" w14:textId="77DC977D" w:rsidR="003E5217" w:rsidRPr="00B9449F" w:rsidRDefault="009D75E3" w:rsidP="00B209BB">
            <w:pPr>
              <w:spacing w:after="240" w:line="276" w:lineRule="auto"/>
              <w:jc w:val="both"/>
              <w:rPr>
                <w:lang w:val="sr-Cyrl-RS"/>
              </w:rPr>
            </w:pPr>
            <w:r w:rsidRPr="00B9449F">
              <w:rPr>
                <w:lang w:val="sr-Cyrl-RS"/>
              </w:rPr>
              <w:t>У</w:t>
            </w:r>
            <w:r w:rsidR="003E5217" w:rsidRPr="00B9449F">
              <w:t xml:space="preserve">купан број организација цивилног друштва које су биле укључене у друштвене дијалоге </w:t>
            </w:r>
            <w:r w:rsidRPr="00B9449F">
              <w:rPr>
                <w:lang w:val="sr-Cyrl-RS"/>
              </w:rPr>
              <w:t xml:space="preserve">реализоване </w:t>
            </w:r>
            <w:r w:rsidRPr="00B9449F">
              <w:t xml:space="preserve">у 2025. години </w:t>
            </w:r>
            <w:r w:rsidR="003E5217" w:rsidRPr="00B9449F">
              <w:t>износи 336</w:t>
            </w:r>
            <w:r w:rsidR="00A57351" w:rsidRPr="00B9449F">
              <w:rPr>
                <w:lang w:val="sr-Cyrl-RS"/>
              </w:rPr>
              <w:t>.</w:t>
            </w:r>
          </w:p>
        </w:tc>
      </w:tr>
    </w:tbl>
    <w:p w14:paraId="1E9E720F" w14:textId="369870FC" w:rsidR="00246AF5" w:rsidRPr="00246AF5" w:rsidRDefault="009D38AA" w:rsidP="00246AF5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>
        <w:rPr>
          <w:rFonts w:eastAsia="Times New Roman"/>
          <w:kern w:val="0"/>
          <w:lang w:val="sr-Cyrl-RS" w:eastAsia="sr-Cyrl-RS"/>
        </w:rPr>
        <w:t>Постављен</w:t>
      </w:r>
      <w:r w:rsidR="001C4E54">
        <w:rPr>
          <w:rFonts w:eastAsia="Times New Roman"/>
          <w:kern w:val="0"/>
          <w:lang w:val="sr-Cyrl-RS" w:eastAsia="sr-Cyrl-RS"/>
        </w:rPr>
        <w:t xml:space="preserve">е </w:t>
      </w:r>
      <w:r>
        <w:rPr>
          <w:rFonts w:eastAsia="Times New Roman"/>
          <w:kern w:val="0"/>
          <w:lang w:val="sr-Cyrl-RS" w:eastAsia="sr-Cyrl-RS"/>
        </w:rPr>
        <w:t xml:space="preserve">вредности у оквиру Посебног циља 1 </w:t>
      </w:r>
      <w:r w:rsidR="001C4E54">
        <w:rPr>
          <w:rFonts w:eastAsia="Times New Roman"/>
          <w:kern w:val="0"/>
          <w:lang w:val="sr-Cyrl-RS" w:eastAsia="sr-Cyrl-RS"/>
        </w:rPr>
        <w:t xml:space="preserve">су </w:t>
      </w:r>
      <w:r w:rsidR="00A204AD">
        <w:rPr>
          <w:rFonts w:eastAsia="Times New Roman"/>
          <w:kern w:val="0"/>
          <w:lang w:val="sr-Cyrl-RS" w:eastAsia="sr-Cyrl-RS"/>
        </w:rPr>
        <w:t xml:space="preserve">у великом броју индикатора </w:t>
      </w:r>
      <w:r w:rsidR="001C4E54">
        <w:rPr>
          <w:rFonts w:eastAsia="Times New Roman"/>
          <w:kern w:val="0"/>
          <w:lang w:val="sr-Cyrl-RS" w:eastAsia="sr-Cyrl-RS"/>
        </w:rPr>
        <w:t xml:space="preserve">постигнуте </w:t>
      </w:r>
      <w:r w:rsidR="00A204AD">
        <w:rPr>
          <w:rFonts w:eastAsia="Times New Roman"/>
          <w:kern w:val="0"/>
          <w:lang w:val="sr-Cyrl-RS" w:eastAsia="sr-Cyrl-RS"/>
        </w:rPr>
        <w:t>односно превазишле су циљане вредности</w:t>
      </w:r>
      <w:r w:rsidR="001C4E54">
        <w:rPr>
          <w:rFonts w:eastAsia="Times New Roman"/>
          <w:kern w:val="0"/>
          <w:lang w:val="sr-Cyrl-RS" w:eastAsia="sr-Cyrl-RS"/>
        </w:rPr>
        <w:t xml:space="preserve">. </w:t>
      </w:r>
      <w:r>
        <w:rPr>
          <w:rFonts w:eastAsia="Times New Roman"/>
          <w:kern w:val="0"/>
          <w:lang w:val="sr-Cyrl-RS" w:eastAsia="sr-Cyrl-RS"/>
        </w:rPr>
        <w:t xml:space="preserve"> </w:t>
      </w:r>
      <w:r w:rsidR="001C4E54">
        <w:rPr>
          <w:rFonts w:eastAsia="Times New Roman"/>
          <w:kern w:val="0"/>
          <w:lang w:val="sr-Cyrl-RS" w:eastAsia="sr-Cyrl-RS"/>
        </w:rPr>
        <w:t>Посебн</w:t>
      </w:r>
      <w:r w:rsidR="00755847">
        <w:rPr>
          <w:rFonts w:eastAsia="Times New Roman"/>
          <w:kern w:val="0"/>
          <w:lang w:val="sr-Cyrl-RS" w:eastAsia="sr-Cyrl-RS"/>
        </w:rPr>
        <w:t>о</w:t>
      </w:r>
      <w:r w:rsidR="001C4E54">
        <w:rPr>
          <w:rFonts w:eastAsia="Times New Roman"/>
          <w:kern w:val="0"/>
          <w:lang w:val="sr-Cyrl-RS" w:eastAsia="sr-Cyrl-RS"/>
        </w:rPr>
        <w:t xml:space="preserve"> </w:t>
      </w:r>
      <w:r w:rsidR="00755847">
        <w:rPr>
          <w:rFonts w:eastAsia="Times New Roman"/>
          <w:kern w:val="0"/>
          <w:lang w:val="sr-Cyrl-RS" w:eastAsia="sr-Cyrl-RS"/>
        </w:rPr>
        <w:t xml:space="preserve">је </w:t>
      </w:r>
      <w:r w:rsidR="001C4E54">
        <w:rPr>
          <w:rFonts w:eastAsia="Times New Roman"/>
          <w:kern w:val="0"/>
          <w:lang w:val="sr-Cyrl-RS" w:eastAsia="sr-Cyrl-RS"/>
        </w:rPr>
        <w:t xml:space="preserve">значајно </w:t>
      </w:r>
      <w:r w:rsidR="00547C8A">
        <w:rPr>
          <w:rFonts w:eastAsia="Times New Roman"/>
          <w:kern w:val="0"/>
          <w:lang w:val="sr-Cyrl-RS" w:eastAsia="sr-Cyrl-RS"/>
        </w:rPr>
        <w:t xml:space="preserve">истаћи </w:t>
      </w:r>
      <w:r w:rsidR="001C4E54">
        <w:rPr>
          <w:rFonts w:eastAsia="Times New Roman"/>
          <w:kern w:val="0"/>
          <w:lang w:val="sr-Cyrl-RS" w:eastAsia="sr-Cyrl-RS"/>
        </w:rPr>
        <w:t>да</w:t>
      </w:r>
      <w:r w:rsidR="003329A7">
        <w:t xml:space="preserve"> је удео нацрта закона и докумената јавних политика (ДЈП) за које је спроведена јавна расправа достигао планиране вредности</w:t>
      </w:r>
      <w:r w:rsidR="00246AF5" w:rsidRPr="00246AF5">
        <w:rPr>
          <w:rFonts w:eastAsia="Times New Roman"/>
          <w:kern w:val="0"/>
          <w:lang w:val="sr-Cyrl-RS" w:eastAsia="sr-Cyrl-RS"/>
        </w:rPr>
        <w:t xml:space="preserve">, показујући </w:t>
      </w:r>
      <w:r w:rsidR="00C22F5B">
        <w:rPr>
          <w:rFonts w:eastAsia="Times New Roman"/>
          <w:kern w:val="0"/>
          <w:lang w:val="sr-Cyrl-RS" w:eastAsia="sr-Cyrl-RS"/>
        </w:rPr>
        <w:t xml:space="preserve">доследну </w:t>
      </w:r>
      <w:r w:rsidR="00A57351">
        <w:rPr>
          <w:rFonts w:eastAsia="Times New Roman"/>
          <w:kern w:val="0"/>
          <w:lang w:val="sr-Cyrl-RS" w:eastAsia="sr-Cyrl-RS"/>
        </w:rPr>
        <w:t>примену</w:t>
      </w:r>
      <w:r w:rsidR="00C22F5B">
        <w:rPr>
          <w:rFonts w:eastAsia="Times New Roman"/>
          <w:kern w:val="0"/>
          <w:lang w:val="sr-Cyrl-RS" w:eastAsia="sr-Cyrl-RS"/>
        </w:rPr>
        <w:t xml:space="preserve"> овог механизма </w:t>
      </w:r>
      <w:r w:rsidR="00246AF5" w:rsidRPr="00246AF5">
        <w:rPr>
          <w:rFonts w:eastAsia="Times New Roman"/>
          <w:kern w:val="0"/>
          <w:lang w:val="sr-Cyrl-RS" w:eastAsia="sr-Cyrl-RS"/>
        </w:rPr>
        <w:t xml:space="preserve"> за учешће</w:t>
      </w:r>
      <w:r w:rsidR="00A57351">
        <w:rPr>
          <w:rFonts w:eastAsia="Times New Roman"/>
          <w:kern w:val="0"/>
          <w:lang w:val="sr-Cyrl-RS" w:eastAsia="sr-Cyrl-RS"/>
        </w:rPr>
        <w:t xml:space="preserve"> јавности у законодавном процесу</w:t>
      </w:r>
      <w:r w:rsidR="00246AF5" w:rsidRPr="00246AF5">
        <w:rPr>
          <w:rFonts w:eastAsia="Times New Roman"/>
          <w:kern w:val="0"/>
          <w:lang w:val="sr-Cyrl-RS" w:eastAsia="sr-Cyrl-RS"/>
        </w:rPr>
        <w:t>.</w:t>
      </w:r>
    </w:p>
    <w:p w14:paraId="3F8A6FF5" w14:textId="4D16A918" w:rsidR="00246AF5" w:rsidRPr="00246AF5" w:rsidRDefault="00246AF5" w:rsidP="00246AF5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246AF5">
        <w:rPr>
          <w:rFonts w:eastAsia="Times New Roman"/>
          <w:kern w:val="0"/>
          <w:lang w:val="sr-Cyrl-RS" w:eastAsia="sr-Cyrl-RS"/>
        </w:rPr>
        <w:t xml:space="preserve">Ипак, </w:t>
      </w:r>
      <w:r w:rsidR="00083FCC">
        <w:rPr>
          <w:rFonts w:eastAsia="Times New Roman"/>
          <w:kern w:val="0"/>
          <w:lang w:val="sr-Cyrl-RS" w:eastAsia="sr-Cyrl-RS"/>
        </w:rPr>
        <w:t xml:space="preserve">прекид рада </w:t>
      </w:r>
      <w:r w:rsidRPr="00246AF5">
        <w:rPr>
          <w:rFonts w:eastAsia="Times New Roman"/>
          <w:kern w:val="0"/>
          <w:lang w:val="sr-Cyrl-RS" w:eastAsia="sr-Cyrl-RS"/>
        </w:rPr>
        <w:t xml:space="preserve">Савета за стварање подстицајног окружења </w:t>
      </w:r>
      <w:r w:rsidR="00547C8A">
        <w:rPr>
          <w:rFonts w:eastAsia="Times New Roman"/>
          <w:kern w:val="0"/>
          <w:lang w:val="sr-Cyrl-RS" w:eastAsia="sr-Cyrl-RS"/>
        </w:rPr>
        <w:t xml:space="preserve">за развој цивилног друштва </w:t>
      </w:r>
      <w:r w:rsidRPr="00246AF5">
        <w:rPr>
          <w:rFonts w:eastAsia="Times New Roman"/>
          <w:kern w:val="0"/>
          <w:lang w:val="sr-Cyrl-RS" w:eastAsia="sr-Cyrl-RS"/>
        </w:rPr>
        <w:t>током 2</w:t>
      </w:r>
      <w:r w:rsidR="00547C8A">
        <w:rPr>
          <w:rFonts w:eastAsia="Times New Roman"/>
          <w:kern w:val="0"/>
          <w:lang w:val="sr-Cyrl-RS" w:eastAsia="sr-Cyrl-RS"/>
        </w:rPr>
        <w:t xml:space="preserve">025. године представља значајан застој </w:t>
      </w:r>
      <w:r w:rsidRPr="00246AF5">
        <w:rPr>
          <w:rFonts w:eastAsia="Times New Roman"/>
          <w:kern w:val="0"/>
          <w:lang w:val="sr-Cyrl-RS" w:eastAsia="sr-Cyrl-RS"/>
        </w:rPr>
        <w:t>у институционалном дијалогу. Министарство је уложило напоре кроз појединачне и заједничке састанке са чланицама Савета</w:t>
      </w:r>
      <w:r w:rsidR="00A57351">
        <w:rPr>
          <w:rFonts w:eastAsia="Times New Roman"/>
          <w:kern w:val="0"/>
          <w:lang w:val="sr-Cyrl-RS" w:eastAsia="sr-Cyrl-RS"/>
        </w:rPr>
        <w:t xml:space="preserve"> у циљу поновног успостављања рада Савета</w:t>
      </w:r>
      <w:r w:rsidRPr="00246AF5">
        <w:rPr>
          <w:rFonts w:eastAsia="Times New Roman"/>
          <w:kern w:val="0"/>
          <w:lang w:val="sr-Cyrl-RS" w:eastAsia="sr-Cyrl-RS"/>
        </w:rPr>
        <w:t>,</w:t>
      </w:r>
      <w:r w:rsidR="00A57351">
        <w:rPr>
          <w:rFonts w:eastAsia="Times New Roman"/>
          <w:kern w:val="0"/>
          <w:lang w:val="sr-Cyrl-RS" w:eastAsia="sr-Cyrl-RS"/>
        </w:rPr>
        <w:t xml:space="preserve"> који су </w:t>
      </w:r>
      <w:r w:rsidRPr="00246AF5">
        <w:rPr>
          <w:rFonts w:eastAsia="Times New Roman"/>
          <w:kern w:val="0"/>
          <w:lang w:val="sr-Cyrl-RS" w:eastAsia="sr-Cyrl-RS"/>
        </w:rPr>
        <w:t xml:space="preserve"> </w:t>
      </w:r>
      <w:r w:rsidR="00A57351" w:rsidRPr="00246AF5">
        <w:rPr>
          <w:rFonts w:eastAsia="Times New Roman"/>
          <w:kern w:val="0"/>
          <w:lang w:val="sr-Cyrl-RS" w:eastAsia="sr-Cyrl-RS"/>
        </w:rPr>
        <w:t>резултира</w:t>
      </w:r>
      <w:r w:rsidR="00A57351">
        <w:rPr>
          <w:rFonts w:eastAsia="Times New Roman"/>
          <w:kern w:val="0"/>
          <w:lang w:val="sr-Cyrl-RS" w:eastAsia="sr-Cyrl-RS"/>
        </w:rPr>
        <w:t>ли</w:t>
      </w:r>
      <w:r w:rsidR="00A57351" w:rsidRPr="00246AF5">
        <w:rPr>
          <w:rFonts w:eastAsia="Times New Roman"/>
          <w:kern w:val="0"/>
          <w:lang w:val="sr-Cyrl-RS" w:eastAsia="sr-Cyrl-RS"/>
        </w:rPr>
        <w:t xml:space="preserve"> </w:t>
      </w:r>
      <w:r w:rsidRPr="00246AF5">
        <w:rPr>
          <w:rFonts w:eastAsia="Times New Roman"/>
          <w:kern w:val="0"/>
          <w:lang w:val="sr-Cyrl-RS" w:eastAsia="sr-Cyrl-RS"/>
        </w:rPr>
        <w:t>предлогом мера за наставак рада Савета</w:t>
      </w:r>
      <w:r w:rsidR="00A57351">
        <w:rPr>
          <w:rFonts w:eastAsia="Times New Roman"/>
          <w:kern w:val="0"/>
          <w:lang w:val="sr-Cyrl-RS" w:eastAsia="sr-Cyrl-RS"/>
        </w:rPr>
        <w:t xml:space="preserve"> од стране организација цивилног друштва</w:t>
      </w:r>
      <w:r w:rsidRPr="00246AF5">
        <w:rPr>
          <w:rFonts w:eastAsia="Times New Roman"/>
          <w:kern w:val="0"/>
          <w:lang w:val="sr-Cyrl-RS" w:eastAsia="sr-Cyrl-RS"/>
        </w:rPr>
        <w:t>.</w:t>
      </w:r>
    </w:p>
    <w:p w14:paraId="7D20B9CE" w14:textId="71E1ABA8" w:rsidR="008667FE" w:rsidRDefault="008667FE" w:rsidP="00246AF5">
      <w:pPr>
        <w:widowControl/>
        <w:suppressAutoHyphens w:val="0"/>
        <w:spacing w:before="100" w:beforeAutospacing="1" w:after="100" w:afterAutospacing="1"/>
        <w:jc w:val="both"/>
      </w:pPr>
      <w:r>
        <w:t xml:space="preserve">Капацитети органа јавне управе за укључивање организација цивилног друштва унапређени су кроз реализоване обуке и повећан број обучених службеника, док </w:t>
      </w:r>
      <w:r w:rsidR="00C22F5B">
        <w:rPr>
          <w:lang w:val="sr-Cyrl-RS"/>
        </w:rPr>
        <w:t xml:space="preserve">су </w:t>
      </w:r>
      <w:r>
        <w:t xml:space="preserve">планиране активности усмерене на јачање капацитета организација цивилног друштва </w:t>
      </w:r>
      <w:r w:rsidR="00501675">
        <w:rPr>
          <w:lang w:val="sr-Cyrl-RS"/>
        </w:rPr>
        <w:t>започеле са реализациом</w:t>
      </w:r>
      <w:r>
        <w:t xml:space="preserve"> у извештајном периоду.</w:t>
      </w:r>
    </w:p>
    <w:p w14:paraId="3FC28C2F" w14:textId="7364D836" w:rsidR="00246AF5" w:rsidRPr="00246AF5" w:rsidRDefault="00246AF5" w:rsidP="00246AF5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246AF5">
        <w:rPr>
          <w:rFonts w:eastAsia="Times New Roman"/>
          <w:kern w:val="0"/>
          <w:lang w:val="sr-Cyrl-RS" w:eastAsia="sr-Cyrl-RS"/>
        </w:rPr>
        <w:t xml:space="preserve">У области медија и јавности постигнут је </w:t>
      </w:r>
      <w:r w:rsidR="00C22F5B">
        <w:rPr>
          <w:rFonts w:eastAsia="Times New Roman"/>
          <w:kern w:val="0"/>
          <w:lang w:val="sr-Cyrl-RS" w:eastAsia="sr-Cyrl-RS"/>
        </w:rPr>
        <w:t>напредак</w:t>
      </w:r>
      <w:r w:rsidRPr="00246AF5">
        <w:rPr>
          <w:rFonts w:eastAsia="Times New Roman"/>
          <w:kern w:val="0"/>
          <w:lang w:val="sr-Cyrl-RS" w:eastAsia="sr-Cyrl-RS"/>
        </w:rPr>
        <w:t xml:space="preserve"> – </w:t>
      </w:r>
      <w:r w:rsidR="00C22F5B">
        <w:rPr>
          <w:rFonts w:eastAsia="Times New Roman"/>
          <w:kern w:val="0"/>
          <w:lang w:val="sr-Cyrl-RS" w:eastAsia="sr-Cyrl-RS"/>
        </w:rPr>
        <w:t>превазиђени</w:t>
      </w:r>
      <w:r w:rsidR="00C22F5B" w:rsidRPr="00246AF5">
        <w:rPr>
          <w:rFonts w:eastAsia="Times New Roman"/>
          <w:kern w:val="0"/>
          <w:lang w:val="sr-Cyrl-RS" w:eastAsia="sr-Cyrl-RS"/>
        </w:rPr>
        <w:t xml:space="preserve"> </w:t>
      </w:r>
      <w:r w:rsidRPr="00246AF5">
        <w:rPr>
          <w:rFonts w:eastAsia="Times New Roman"/>
          <w:kern w:val="0"/>
          <w:lang w:val="sr-Cyrl-RS" w:eastAsia="sr-Cyrl-RS"/>
        </w:rPr>
        <w:t>су или достигнути сви показатељи за подршку пројектима медијских садржаја</w:t>
      </w:r>
      <w:r w:rsidR="002825D7">
        <w:rPr>
          <w:rFonts w:eastAsia="Times New Roman"/>
          <w:kern w:val="0"/>
          <w:lang w:val="sr-Cyrl-RS" w:eastAsia="sr-Cyrl-RS"/>
        </w:rPr>
        <w:t xml:space="preserve"> и</w:t>
      </w:r>
      <w:r w:rsidRPr="00246AF5">
        <w:rPr>
          <w:rFonts w:eastAsia="Times New Roman"/>
          <w:kern w:val="0"/>
          <w:lang w:val="sr-Cyrl-RS" w:eastAsia="sr-Cyrl-RS"/>
        </w:rPr>
        <w:t xml:space="preserve"> број произведених садржаја</w:t>
      </w:r>
      <w:r w:rsidR="00547C8A">
        <w:rPr>
          <w:rFonts w:eastAsia="Times New Roman"/>
          <w:kern w:val="0"/>
          <w:lang w:val="sr-Cyrl-RS" w:eastAsia="sr-Cyrl-RS"/>
        </w:rPr>
        <w:t>.</w:t>
      </w:r>
      <w:r w:rsidRPr="00246AF5">
        <w:rPr>
          <w:rFonts w:eastAsia="Times New Roman"/>
          <w:kern w:val="0"/>
          <w:lang w:val="sr-Cyrl-RS" w:eastAsia="sr-Cyrl-RS"/>
        </w:rPr>
        <w:t xml:space="preserve"> </w:t>
      </w:r>
    </w:p>
    <w:p w14:paraId="0B6336EA" w14:textId="3C455409" w:rsidR="003329A7" w:rsidRDefault="003329A7" w:rsidP="00F41CE2">
      <w:pPr>
        <w:pStyle w:val="NormalWeb"/>
        <w:spacing w:after="240" w:afterAutospacing="0" w:line="276" w:lineRule="auto"/>
        <w:jc w:val="both"/>
      </w:pPr>
      <w:r>
        <w:t>Остварени резултати указују на постепено унапређење механизама за учешће цивилног сектора у процесима доношења одлука. У наредном периоду биће потребно наставити активности усмерене на јачање институционалног дијалога и додатно оснаживање капацитета организација цивилног друштва за учешће у креирању јавних политика.</w:t>
      </w:r>
    </w:p>
    <w:p w14:paraId="4AB5A3B4" w14:textId="77777777" w:rsidR="00547C8A" w:rsidRDefault="00547C8A" w:rsidP="00F41CE2">
      <w:pPr>
        <w:pStyle w:val="NormalWeb"/>
        <w:spacing w:after="240" w:afterAutospacing="0" w:line="276" w:lineRule="auto"/>
        <w:jc w:val="both"/>
      </w:pPr>
    </w:p>
    <w:p w14:paraId="500B0DFE" w14:textId="77777777" w:rsidR="009A18EE" w:rsidRPr="00F41CE2" w:rsidRDefault="009A18EE" w:rsidP="00F41CE2">
      <w:pPr>
        <w:pStyle w:val="NormalWeb"/>
        <w:spacing w:after="240" w:afterAutospacing="0" w:line="276" w:lineRule="auto"/>
        <w:jc w:val="both"/>
        <w:rPr>
          <w:b/>
        </w:rPr>
      </w:pPr>
      <w:r w:rsidRPr="00F41CE2">
        <w:rPr>
          <w:b/>
        </w:rPr>
        <w:lastRenderedPageBreak/>
        <w:t>Посебан циљ 2:</w:t>
      </w:r>
      <w:r w:rsidRPr="00F41CE2">
        <w:t xml:space="preserve"> </w:t>
      </w:r>
      <w:r w:rsidRPr="00F41CE2">
        <w:rPr>
          <w:rStyle w:val="Strong"/>
        </w:rPr>
        <w:t>Унапређено транспарентно финансирање и одрживост цивилног сектора</w:t>
      </w:r>
      <w:r w:rsidRPr="00F41CE2">
        <w:rPr>
          <w:b/>
        </w:rPr>
        <w:t>.</w:t>
      </w:r>
    </w:p>
    <w:p w14:paraId="5324B70B" w14:textId="77777777" w:rsidR="0037295C" w:rsidRPr="00F41CE2" w:rsidRDefault="0037295C" w:rsidP="00F41CE2">
      <w:pPr>
        <w:pStyle w:val="Heading3"/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lang w:val="sr-Cyrl-RS"/>
        </w:rPr>
      </w:pPr>
      <w:bookmarkStart w:id="13" w:name="_Toc222911262"/>
      <w:bookmarkStart w:id="14" w:name="_Toc222911365"/>
      <w:r w:rsidRPr="00F41CE2">
        <w:rPr>
          <w:rFonts w:ascii="Times New Roman" w:hAnsi="Times New Roman" w:cs="Times New Roman"/>
          <w:color w:val="auto"/>
        </w:rPr>
        <w:t>Преглед остварености показатеља и мера</w:t>
      </w:r>
      <w:r w:rsidRPr="00F41CE2">
        <w:rPr>
          <w:rFonts w:ascii="Times New Roman" w:hAnsi="Times New Roman" w:cs="Times New Roman"/>
          <w:color w:val="auto"/>
          <w:lang w:val="sr-Cyrl-RS"/>
        </w:rPr>
        <w:t xml:space="preserve"> за Посебан циљ 2</w:t>
      </w:r>
      <w:bookmarkEnd w:id="13"/>
      <w:bookmarkEnd w:id="14"/>
      <w:r w:rsidR="003160B3">
        <w:rPr>
          <w:rFonts w:ascii="Times New Roman" w:hAnsi="Times New Roman" w:cs="Times New Roman"/>
          <w:color w:val="auto"/>
          <w:lang w:val="sr-Cyrl-R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568"/>
        <w:gridCol w:w="1197"/>
        <w:gridCol w:w="4690"/>
      </w:tblGrid>
      <w:tr w:rsidR="00B24AE2" w:rsidRPr="00F41CE2" w14:paraId="3307DEF8" w14:textId="77777777" w:rsidTr="0003368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FECE" w14:textId="77777777" w:rsidR="009A18EE" w:rsidRPr="009B01B8" w:rsidRDefault="009A18EE" w:rsidP="003160B3">
            <w:pPr>
              <w:jc w:val="center"/>
              <w:rPr>
                <w:bCs/>
              </w:rPr>
            </w:pPr>
            <w:r w:rsidRPr="009B01B8">
              <w:rPr>
                <w:bCs/>
              </w:rPr>
              <w:t>Мера / Показатељ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E90" w14:textId="77777777" w:rsidR="009A18EE" w:rsidRPr="009B01B8" w:rsidRDefault="009A18EE" w:rsidP="003160B3">
            <w:pPr>
              <w:jc w:val="center"/>
              <w:rPr>
                <w:bCs/>
              </w:rPr>
            </w:pPr>
            <w:r w:rsidRPr="009B01B8">
              <w:rPr>
                <w:bCs/>
              </w:rPr>
              <w:t>Циљ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691A" w14:textId="77777777" w:rsidR="009A18EE" w:rsidRPr="009B01B8" w:rsidRDefault="009A18EE" w:rsidP="003160B3">
            <w:pPr>
              <w:jc w:val="center"/>
              <w:rPr>
                <w:bCs/>
              </w:rPr>
            </w:pPr>
            <w:r w:rsidRPr="009B01B8">
              <w:rPr>
                <w:bCs/>
              </w:rPr>
              <w:t>Остварење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EC87" w14:textId="77777777" w:rsidR="009A18EE" w:rsidRPr="009B01B8" w:rsidRDefault="009A18EE" w:rsidP="003160B3">
            <w:pPr>
              <w:jc w:val="center"/>
              <w:rPr>
                <w:bCs/>
              </w:rPr>
            </w:pPr>
            <w:r w:rsidRPr="009B01B8">
              <w:rPr>
                <w:bCs/>
              </w:rPr>
              <w:t>Статус</w:t>
            </w:r>
          </w:p>
        </w:tc>
      </w:tr>
      <w:tr w:rsidR="00B24AE2" w:rsidRPr="003160B3" w14:paraId="01F52B5C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A776" w14:textId="77777777" w:rsidR="009A18EE" w:rsidRPr="003160B3" w:rsidRDefault="009A18EE" w:rsidP="003160B3">
            <w:pPr>
              <w:spacing w:after="240" w:line="276" w:lineRule="auto"/>
              <w:jc w:val="center"/>
            </w:pPr>
            <w:r w:rsidRPr="003160B3">
              <w:t>Унапређена транспарентност у финансирању програма и пројеката ОЦД из буџетских средстава и праћење реализације и евалуације пројеката (0 - не, 1- 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BC3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C623" w14:textId="77777777" w:rsidR="009A18EE" w:rsidRPr="003160B3" w:rsidRDefault="003B7D79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EE95" w14:textId="77777777" w:rsidR="009A18EE" w:rsidRPr="00B209BB" w:rsidRDefault="003160B3" w:rsidP="003160B3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209BB">
              <w:rPr>
                <w:b/>
                <w:lang w:val="sr-Cyrl-RS"/>
              </w:rPr>
              <w:t>О</w:t>
            </w:r>
            <w:r w:rsidR="009A18EE" w:rsidRPr="00B209BB">
              <w:rPr>
                <w:b/>
                <w:lang w:val="sr-Cyrl-RS"/>
              </w:rPr>
              <w:t>стварено</w:t>
            </w:r>
          </w:p>
          <w:p w14:paraId="3A434DB0" w14:textId="2B1A0CB4" w:rsidR="00B24AE2" w:rsidRDefault="00A34D52" w:rsidP="00B209BB">
            <w:pPr>
              <w:spacing w:after="240" w:line="276" w:lineRule="auto"/>
              <w:jc w:val="both"/>
            </w:pPr>
            <w:r w:rsidRPr="00B209BB">
              <w:rPr>
                <w:lang w:val="sr-Cyrl-RS"/>
              </w:rPr>
              <w:t>Транспарентност</w:t>
            </w:r>
            <w:r w:rsidR="00B209BB" w:rsidRPr="00B209BB">
              <w:rPr>
                <w:lang w:val="sr-Cyrl-RS"/>
              </w:rPr>
              <w:t xml:space="preserve"> је </w:t>
            </w:r>
            <w:r w:rsidR="00C22F5B">
              <w:rPr>
                <w:lang w:val="sr-Cyrl-RS"/>
              </w:rPr>
              <w:t>унапређена</w:t>
            </w:r>
            <w:r w:rsidR="00C22F5B" w:rsidRPr="00B209BB">
              <w:rPr>
                <w:lang w:val="sr-Cyrl-RS"/>
              </w:rPr>
              <w:t xml:space="preserve"> </w:t>
            </w:r>
            <w:r w:rsidR="00B209BB" w:rsidRPr="00B209BB">
              <w:rPr>
                <w:lang w:val="sr-Cyrl-RS"/>
              </w:rPr>
              <w:t>обезбеђивањем доступности податка о</w:t>
            </w:r>
            <w:r w:rsidR="00501675">
              <w:rPr>
                <w:lang w:val="sr-Cyrl-RS"/>
              </w:rPr>
              <w:t xml:space="preserve"> планираним јавним конкурсима органа јавне управе сва три нивоа власти и </w:t>
            </w:r>
            <w:r w:rsidR="00F1259C">
              <w:rPr>
                <w:lang w:val="sr-Cyrl-RS"/>
              </w:rPr>
              <w:t>представљање</w:t>
            </w:r>
            <w:r w:rsidR="00501675">
              <w:rPr>
                <w:lang w:val="sr-Cyrl-RS"/>
              </w:rPr>
              <w:t xml:space="preserve"> резултата</w:t>
            </w:r>
            <w:r w:rsidR="005F13A1">
              <w:rPr>
                <w:lang w:val="sr-Cyrl-RS"/>
              </w:rPr>
              <w:t xml:space="preserve"> </w:t>
            </w:r>
            <w:r w:rsidR="00B209BB" w:rsidRPr="00B209BB">
              <w:rPr>
                <w:lang w:val="sr-Cyrl-RS"/>
              </w:rPr>
              <w:t xml:space="preserve"> одобрени</w:t>
            </w:r>
            <w:r w:rsidR="00501675">
              <w:rPr>
                <w:lang w:val="sr-Cyrl-RS"/>
              </w:rPr>
              <w:t>х</w:t>
            </w:r>
            <w:r w:rsidR="00B209BB" w:rsidRPr="00B209BB">
              <w:rPr>
                <w:lang w:val="sr-Cyrl-RS"/>
              </w:rPr>
              <w:t xml:space="preserve"> пројек</w:t>
            </w:r>
            <w:r w:rsidR="00501675">
              <w:rPr>
                <w:lang w:val="sr-Cyrl-RS"/>
              </w:rPr>
              <w:t>а</w:t>
            </w:r>
            <w:r w:rsidR="00B209BB" w:rsidRPr="00B209BB">
              <w:rPr>
                <w:lang w:val="sr-Cyrl-RS"/>
              </w:rPr>
              <w:t>т</w:t>
            </w:r>
            <w:r w:rsidR="00501675">
              <w:rPr>
                <w:lang w:val="sr-Cyrl-RS"/>
              </w:rPr>
              <w:t>а</w:t>
            </w:r>
            <w:r w:rsidR="00B209BB" w:rsidRPr="00B209BB">
              <w:rPr>
                <w:lang w:val="sr-Cyrl-RS"/>
              </w:rPr>
              <w:t xml:space="preserve"> и програмима у оквиру реализованих конкурса органа јавне управе</w:t>
            </w:r>
            <w:r w:rsidR="00B209BB">
              <w:rPr>
                <w:lang w:val="sr-Cyrl-RS"/>
              </w:rPr>
              <w:t>.</w:t>
            </w:r>
            <w:r w:rsidR="00B24AE2">
              <w:t xml:space="preserve"> </w:t>
            </w:r>
          </w:p>
          <w:p w14:paraId="5FB370A4" w14:textId="459C94C7" w:rsidR="00B209BB" w:rsidRPr="003160B3" w:rsidRDefault="00B24AE2" w:rsidP="00B209BB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Апликација Календар конкурса доступна је на: </w:t>
            </w:r>
            <w:hyperlink r:id="rId10" w:history="1">
              <w:r w:rsidR="00755847" w:rsidRPr="00DA3EE2">
                <w:rPr>
                  <w:rStyle w:val="Hyperlink"/>
                  <w:lang w:val="sr-Cyrl-RS"/>
                </w:rPr>
                <w:t>https://kalendarkonkursa.minljmpdd.gov.rs/</w:t>
              </w:r>
            </w:hyperlink>
            <w:r w:rsidR="00755847">
              <w:rPr>
                <w:lang w:val="sr-Cyrl-RS"/>
              </w:rPr>
              <w:t xml:space="preserve"> </w:t>
            </w:r>
          </w:p>
        </w:tc>
      </w:tr>
      <w:tr w:rsidR="00B24AE2" w:rsidRPr="003160B3" w14:paraId="315D3DF7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B7D" w14:textId="77777777" w:rsidR="009A18EE" w:rsidRPr="003160B3" w:rsidRDefault="00243143" w:rsidP="003160B3">
            <w:pPr>
              <w:spacing w:after="240" w:line="276" w:lineRule="auto"/>
              <w:jc w:val="center"/>
              <w:rPr>
                <w:b/>
              </w:rPr>
            </w:pPr>
            <w:r w:rsidRPr="003160B3">
              <w:rPr>
                <w:b/>
              </w:rPr>
              <w:t xml:space="preserve">Мера </w:t>
            </w:r>
            <w:r w:rsidR="009A18EE" w:rsidRPr="003160B3">
              <w:rPr>
                <w:b/>
              </w:rPr>
              <w:t>2.1: Унапређење подстицајног нормативног оквира и административних пракси за транспаретност финансирања и финансијску одрживост цивилног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48C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369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5310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</w:p>
        </w:tc>
      </w:tr>
      <w:tr w:rsidR="00B24AE2" w:rsidRPr="003160B3" w14:paraId="275F9494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C90" w14:textId="77777777" w:rsidR="009A18EE" w:rsidRPr="003160B3" w:rsidRDefault="009A18EE" w:rsidP="003160B3">
            <w:pPr>
              <w:spacing w:after="240" w:line="276" w:lineRule="auto"/>
              <w:jc w:val="center"/>
            </w:pPr>
            <w:r w:rsidRPr="003160B3">
              <w:t xml:space="preserve">Усвојене измене прописа који обезбеђује рекласификацију буџетске линије 481, тако да се дотације удружењима, задужбинама и фондацијама јасно раздвоје од дотација политичким странкама, верским заједницама, </w:t>
            </w:r>
            <w:r w:rsidRPr="003160B3">
              <w:lastRenderedPageBreak/>
              <w:t>етничким заједницама и свима чије је финансирање регулисано посебним прописима (0 - не, 1- 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65C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6C3" w14:textId="77777777" w:rsidR="009A18EE" w:rsidRPr="003160B3" w:rsidRDefault="009A18EE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CC0" w14:textId="77777777" w:rsidR="0048238B" w:rsidRPr="00B209BB" w:rsidRDefault="009A18EE" w:rsidP="003160B3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209BB">
              <w:rPr>
                <w:b/>
                <w:lang w:val="sr-Cyrl-RS"/>
              </w:rPr>
              <w:t>Није остварено</w:t>
            </w:r>
          </w:p>
          <w:p w14:paraId="43D39749" w14:textId="35A4B21E" w:rsidR="009A18EE" w:rsidRPr="003160B3" w:rsidRDefault="0048238B" w:rsidP="00496933">
            <w:pPr>
              <w:spacing w:after="240" w:line="276" w:lineRule="auto"/>
              <w:jc w:val="both"/>
              <w:rPr>
                <w:lang w:val="sr-Cyrl-RS"/>
              </w:rPr>
            </w:pPr>
            <w:r w:rsidRPr="0048238B">
              <w:rPr>
                <w:lang w:val="sr-Cyrl-RS"/>
              </w:rPr>
              <w:t xml:space="preserve">Министарство финансија </w:t>
            </w:r>
            <w:r w:rsidR="00547C8A">
              <w:rPr>
                <w:lang w:val="sr-Cyrl-RS"/>
              </w:rPr>
              <w:t xml:space="preserve">је известило да </w:t>
            </w:r>
            <w:r w:rsidRPr="0048238B">
              <w:rPr>
                <w:lang w:val="sr-Cyrl-RS"/>
              </w:rPr>
              <w:t xml:space="preserve">ће у вези са </w:t>
            </w:r>
            <w:r w:rsidR="00B24AE2">
              <w:rPr>
                <w:lang w:val="sr-Cyrl-RS"/>
              </w:rPr>
              <w:t>р</w:t>
            </w:r>
            <w:r>
              <w:rPr>
                <w:lang w:val="sr-Cyrl-RS"/>
              </w:rPr>
              <w:t>екласификацијом</w:t>
            </w:r>
            <w:r w:rsidRPr="0048238B">
              <w:rPr>
                <w:lang w:val="sr-Cyrl-RS"/>
              </w:rPr>
              <w:t xml:space="preserve"> буџетске линије 481</w:t>
            </w:r>
            <w:r>
              <w:rPr>
                <w:lang w:val="sr-Cyrl-RS"/>
              </w:rPr>
              <w:t>,</w:t>
            </w:r>
            <w:r w:rsidRPr="0048238B">
              <w:rPr>
                <w:lang w:val="sr-Cyrl-RS"/>
              </w:rPr>
              <w:t xml:space="preserve"> </w:t>
            </w:r>
            <w:r w:rsidR="003E5217">
              <w:rPr>
                <w:lang w:val="sr-Cyrl-RS"/>
              </w:rPr>
              <w:t xml:space="preserve">у наредном периоду радити </w:t>
            </w:r>
            <w:r w:rsidRPr="0048238B">
              <w:rPr>
                <w:lang w:val="sr-Cyrl-RS"/>
              </w:rPr>
              <w:t>тако да се дотације удружењима, задужбинама и фондацијама јасно раздвоје од дотација политичким странкама, верским заједницама, етничким заједницама и свима чије финансирањ</w:t>
            </w:r>
            <w:r w:rsidR="00496933">
              <w:rPr>
                <w:lang w:val="sr-Cyrl-RS"/>
              </w:rPr>
              <w:t>е регулисано посебним прописима.  У</w:t>
            </w:r>
            <w:r w:rsidRPr="0048238B">
              <w:rPr>
                <w:lang w:val="sr-Cyrl-RS"/>
              </w:rPr>
              <w:t xml:space="preserve"> току 2026. године </w:t>
            </w:r>
            <w:r w:rsidR="00496933">
              <w:rPr>
                <w:lang w:val="sr-Cyrl-RS"/>
              </w:rPr>
              <w:t xml:space="preserve">предузеће се </w:t>
            </w:r>
            <w:r w:rsidRPr="0048238B">
              <w:rPr>
                <w:lang w:val="sr-Cyrl-RS"/>
              </w:rPr>
              <w:t xml:space="preserve"> </w:t>
            </w:r>
            <w:r w:rsidRPr="0048238B">
              <w:rPr>
                <w:lang w:val="sr-Cyrl-RS"/>
              </w:rPr>
              <w:lastRenderedPageBreak/>
              <w:t>активности на измени Правилника о стандардном класификационом оквиру и контном плану за буџетски систем</w:t>
            </w:r>
            <w:r>
              <w:rPr>
                <w:lang w:val="sr-Cyrl-RS"/>
              </w:rPr>
              <w:t>,</w:t>
            </w:r>
            <w:r w:rsidRPr="0048238B">
              <w:rPr>
                <w:lang w:val="sr-Cyrl-RS"/>
              </w:rPr>
              <w:t xml:space="preserve"> отварањем субаналитичког конта у о</w:t>
            </w:r>
            <w:r>
              <w:rPr>
                <w:lang w:val="sr-Cyrl-RS"/>
              </w:rPr>
              <w:t>квиру аналитичког конта 481940-Д</w:t>
            </w:r>
            <w:r w:rsidRPr="0048238B">
              <w:rPr>
                <w:lang w:val="sr-Cyrl-RS"/>
              </w:rPr>
              <w:t>отације осталим удружењима грађана и политичким странкама.</w:t>
            </w:r>
          </w:p>
        </w:tc>
      </w:tr>
      <w:tr w:rsidR="00B24AE2" w:rsidRPr="003160B3" w14:paraId="75651022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A911" w14:textId="77777777" w:rsidR="009A18EE" w:rsidRPr="003160B3" w:rsidRDefault="007A52AA" w:rsidP="003160B3">
            <w:pPr>
              <w:spacing w:after="240" w:line="276" w:lineRule="auto"/>
              <w:jc w:val="center"/>
            </w:pPr>
            <w:r w:rsidRPr="003160B3">
              <w:lastRenderedPageBreak/>
              <w:t>Смањен број одбијених жалби ОЦД на резултате јавних конкурса у односу на укупан број жалби на годишњем нивоу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69A" w14:textId="77777777" w:rsidR="009A18EE" w:rsidRPr="003160B3" w:rsidRDefault="007A52A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28FB" w14:textId="77777777" w:rsidR="009A18EE" w:rsidRPr="006D3E3D" w:rsidRDefault="006D3E3D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026" w14:textId="76D87044" w:rsidR="009A18EE" w:rsidRPr="00C22F5B" w:rsidRDefault="00C22F5B" w:rsidP="00B209BB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Податак није доступан.</w:t>
            </w:r>
          </w:p>
        </w:tc>
      </w:tr>
      <w:tr w:rsidR="00B24AE2" w:rsidRPr="003160B3" w14:paraId="03148F24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CBC8" w14:textId="77777777" w:rsidR="009A18EE" w:rsidRPr="003160B3" w:rsidRDefault="00243143" w:rsidP="003160B3">
            <w:pPr>
              <w:spacing w:after="240" w:line="276" w:lineRule="auto"/>
              <w:jc w:val="center"/>
              <w:rPr>
                <w:b/>
              </w:rPr>
            </w:pPr>
            <w:r w:rsidRPr="003160B3">
              <w:rPr>
                <w:b/>
              </w:rPr>
              <w:t xml:space="preserve">Мера </w:t>
            </w:r>
            <w:r w:rsidR="007A52AA" w:rsidRPr="003160B3">
              <w:rPr>
                <w:b/>
              </w:rPr>
              <w:t>2.2: Унапређење кадровских и стручних капацитета јавне управе за планску и транспарентну доделу, праћење и евалуацију доделе буџетских средстава намењених за програме и пројекте ОЦД и остварености постављених циљева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2FE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43A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266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</w:tr>
      <w:tr w:rsidR="00B24AE2" w:rsidRPr="003160B3" w14:paraId="4CD3EF72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3C3" w14:textId="77777777" w:rsidR="009A18EE" w:rsidRPr="003160B3" w:rsidRDefault="007A52AA" w:rsidP="003160B3">
            <w:pPr>
              <w:spacing w:after="240" w:line="276" w:lineRule="auto"/>
              <w:jc w:val="center"/>
            </w:pPr>
            <w:r w:rsidRPr="003160B3">
              <w:t>Број спроведених обука на годишњем нивоу, за запослене у органима јавне управе за планску и транспарентну доделу, праћење и евалуацију доделе буџетских средстава намењених за програме и пројекте ОЦД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25B5" w14:textId="77777777" w:rsidR="009A18EE" w:rsidRPr="003160B3" w:rsidRDefault="007A52A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7BE" w14:textId="4264A9CE" w:rsidR="009A18EE" w:rsidRPr="003160B3" w:rsidRDefault="00F85C1B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9C0" w14:textId="77777777" w:rsidR="00B72B5F" w:rsidRDefault="00DD6761" w:rsidP="00217A72">
            <w:pPr>
              <w:spacing w:after="240" w:line="276" w:lineRule="auto"/>
              <w:jc w:val="both"/>
              <w:rPr>
                <w:lang w:val="sr-Cyrl-RS"/>
              </w:rPr>
            </w:pPr>
            <w:r w:rsidRPr="00217A72">
              <w:rPr>
                <w:lang w:val="sr-Cyrl-RS"/>
              </w:rPr>
              <w:t>О</w:t>
            </w:r>
            <w:r w:rsidR="0037295C" w:rsidRPr="00217A72">
              <w:rPr>
                <w:lang w:val="sr-Cyrl-RS"/>
              </w:rPr>
              <w:t>стварен</w:t>
            </w:r>
            <w:r w:rsidR="00B72B5F" w:rsidRPr="00F85C1B">
              <w:rPr>
                <w:lang w:val="sr-Cyrl-RS"/>
              </w:rPr>
              <w:t xml:space="preserve"> </w:t>
            </w:r>
          </w:p>
          <w:p w14:paraId="3B844895" w14:textId="05DD5107" w:rsidR="009A18EE" w:rsidRPr="00217A72" w:rsidRDefault="009A18EE" w:rsidP="00217A72">
            <w:pPr>
              <w:spacing w:after="240" w:line="276" w:lineRule="auto"/>
              <w:jc w:val="both"/>
              <w:rPr>
                <w:lang w:val="sr-Cyrl-RS"/>
              </w:rPr>
            </w:pPr>
          </w:p>
          <w:p w14:paraId="5CE15DAF" w14:textId="66BEF013" w:rsidR="00527E62" w:rsidRPr="003160B3" w:rsidRDefault="0001217E" w:rsidP="00755847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НАЈУ </w:t>
            </w:r>
            <w:r w:rsidR="00810D79">
              <w:rPr>
                <w:lang w:val="sr-Cyrl-RS"/>
              </w:rPr>
              <w:t>је организова</w:t>
            </w:r>
            <w:r w:rsidR="00217A72">
              <w:rPr>
                <w:lang w:val="sr-Cyrl-RS"/>
              </w:rPr>
              <w:t>ла</w:t>
            </w:r>
            <w:r w:rsidR="00810D79">
              <w:rPr>
                <w:lang w:val="sr-Cyrl-RS"/>
              </w:rPr>
              <w:t xml:space="preserve"> две обуке </w:t>
            </w:r>
            <w:r w:rsidR="00783D3E">
              <w:rPr>
                <w:lang w:val="sr-Cyrl-RS"/>
              </w:rPr>
              <w:t>из Општег програма обуке за државне службенике на тему „</w:t>
            </w:r>
            <w:r w:rsidR="00783D3E" w:rsidRPr="00217A72">
              <w:rPr>
                <w:lang w:val="sr-Cyrl-RS"/>
              </w:rPr>
              <w:t>Финансирање програма од јавног интереса које реализују удружења</w:t>
            </w:r>
            <w:r w:rsidR="00783D3E"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. Док је Министарство у партнерству са </w:t>
            </w:r>
            <w:r w:rsidR="00527E62" w:rsidRPr="003160B3">
              <w:rPr>
                <w:lang w:val="sr-Cyrl-RS"/>
              </w:rPr>
              <w:t xml:space="preserve"> Сталн</w:t>
            </w:r>
            <w:r>
              <w:rPr>
                <w:lang w:val="sr-Cyrl-RS"/>
              </w:rPr>
              <w:t>ом</w:t>
            </w:r>
            <w:r w:rsidR="00527E62" w:rsidRPr="003160B3">
              <w:rPr>
                <w:lang w:val="sr-Cyrl-RS"/>
              </w:rPr>
              <w:t xml:space="preserve"> конференциј</w:t>
            </w:r>
            <w:r>
              <w:rPr>
                <w:lang w:val="sr-Cyrl-RS"/>
              </w:rPr>
              <w:t>ом</w:t>
            </w:r>
            <w:r w:rsidR="00527E62" w:rsidRPr="003160B3">
              <w:rPr>
                <w:lang w:val="sr-Cyrl-RS"/>
              </w:rPr>
              <w:t xml:space="preserve"> градова и општина (СКГО)  у </w:t>
            </w:r>
            <w:r>
              <w:rPr>
                <w:lang w:val="sr-Cyrl-RS"/>
              </w:rPr>
              <w:t xml:space="preserve">реализовало </w:t>
            </w:r>
            <w:r w:rsidRPr="003160B3">
              <w:rPr>
                <w:lang w:val="sr-Cyrl-RS"/>
              </w:rPr>
              <w:t xml:space="preserve"> </w:t>
            </w:r>
            <w:r w:rsidRPr="00F85C1B">
              <w:rPr>
                <w:lang w:val="sr-Cyrl-RS"/>
              </w:rPr>
              <w:t>три обуке</w:t>
            </w:r>
            <w:r w:rsidRPr="003160B3">
              <w:rPr>
                <w:lang w:val="sr-Cyrl-RS"/>
              </w:rPr>
              <w:t xml:space="preserve"> </w:t>
            </w:r>
            <w:r w:rsidR="00217A72">
              <w:rPr>
                <w:lang w:val="sr-Cyrl-RS"/>
              </w:rPr>
              <w:t xml:space="preserve">на тему </w:t>
            </w:r>
            <w:r w:rsidR="00217A72" w:rsidRPr="00217A72">
              <w:rPr>
                <w:lang w:val="sr-Cyrl-RS"/>
              </w:rPr>
              <w:lastRenderedPageBreak/>
              <w:t xml:space="preserve">„Финансирање програма од јавног интереса које реализују удружења“ за запослене у </w:t>
            </w:r>
            <w:r w:rsidR="00527E62" w:rsidRPr="003160B3">
              <w:rPr>
                <w:lang w:val="sr-Cyrl-RS"/>
              </w:rPr>
              <w:t xml:space="preserve"> јединица</w:t>
            </w:r>
            <w:r w:rsidR="00217A72">
              <w:rPr>
                <w:lang w:val="sr-Cyrl-RS"/>
              </w:rPr>
              <w:t xml:space="preserve">ма </w:t>
            </w:r>
            <w:r w:rsidR="00527E62" w:rsidRPr="003160B3">
              <w:rPr>
                <w:lang w:val="sr-Cyrl-RS"/>
              </w:rPr>
              <w:t xml:space="preserve"> локалне самоуправе у оквиру Секторског програма континуираног стручног усавршавања</w:t>
            </w:r>
            <w:r w:rsidR="00496933">
              <w:rPr>
                <w:lang w:val="sr-Cyrl-RS"/>
              </w:rPr>
              <w:t xml:space="preserve">. </w:t>
            </w:r>
          </w:p>
        </w:tc>
      </w:tr>
      <w:tr w:rsidR="00B24AE2" w:rsidRPr="003160B3" w14:paraId="1F99AB36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BF54" w14:textId="77777777" w:rsidR="009A18EE" w:rsidRPr="003160B3" w:rsidRDefault="00EE22A6" w:rsidP="003160B3">
            <w:pPr>
              <w:spacing w:after="240" w:line="276" w:lineRule="auto"/>
              <w:jc w:val="center"/>
            </w:pPr>
            <w:r w:rsidRPr="003160B3">
              <w:lastRenderedPageBreak/>
              <w:t>Број запослених у органима јавне управе који су обучени за планску и транспарентну доделу, праћење и евалуацију доделе буџетских средстава намењених за програме и пројекте ОЦД, на годишњем нивоу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E55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ED40" w14:textId="2D7FEE73" w:rsidR="009A18EE" w:rsidRPr="003160B3" w:rsidRDefault="00F85C1B" w:rsidP="003160B3">
            <w:pPr>
              <w:spacing w:after="24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76D5" w14:textId="77777777" w:rsidR="009A18EE" w:rsidRPr="003160B3" w:rsidRDefault="00DD6761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О</w:t>
            </w:r>
            <w:r w:rsidR="00330E5A" w:rsidRPr="003160B3">
              <w:rPr>
                <w:lang w:val="sr-Cyrl-RS"/>
              </w:rPr>
              <w:t>стварен</w:t>
            </w:r>
          </w:p>
          <w:p w14:paraId="6E46723E" w14:textId="460CECA2" w:rsidR="00DD6761" w:rsidRPr="003160B3" w:rsidRDefault="00AB61C6" w:rsidP="00755847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У оквиру обука које су спроведене у НАЈУ обучено је 34 државна службеника. Додатно, </w:t>
            </w:r>
            <w:r w:rsidR="0001217E">
              <w:rPr>
                <w:lang w:val="sr-Cyrl-RS"/>
              </w:rPr>
              <w:t xml:space="preserve">Министарство је у сарадњи са </w:t>
            </w:r>
            <w:r w:rsidR="00F85C1B" w:rsidRPr="00F85C1B">
              <w:rPr>
                <w:lang w:val="sr-Cyrl-RS"/>
              </w:rPr>
              <w:t>СКГО организова</w:t>
            </w:r>
            <w:r>
              <w:rPr>
                <w:lang w:val="sr-Cyrl-RS"/>
              </w:rPr>
              <w:t>л</w:t>
            </w:r>
            <w:r w:rsidR="00F85C1B" w:rsidRPr="00F85C1B">
              <w:rPr>
                <w:lang w:val="sr-Cyrl-RS"/>
              </w:rPr>
              <w:t xml:space="preserve">о три обуке </w:t>
            </w:r>
            <w:r w:rsidR="00F85C1B">
              <w:rPr>
                <w:lang w:val="sr-Cyrl-RS"/>
              </w:rPr>
              <w:t xml:space="preserve">на тему „Финансирање програма од јавног интереса које реализују удружења“ </w:t>
            </w:r>
            <w:r w:rsidR="00F85C1B" w:rsidRPr="00F85C1B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на којима је учествовало</w:t>
            </w:r>
            <w:r w:rsidR="00F85C1B" w:rsidRPr="00F85C1B">
              <w:rPr>
                <w:lang w:val="sr-Cyrl-RS"/>
              </w:rPr>
              <w:t xml:space="preserve"> 77 учесника</w:t>
            </w:r>
            <w:r w:rsidR="0001217E">
              <w:rPr>
                <w:lang w:val="sr-Cyrl-RS"/>
              </w:rPr>
              <w:t>.</w:t>
            </w:r>
          </w:p>
        </w:tc>
      </w:tr>
      <w:tr w:rsidR="00B24AE2" w:rsidRPr="003160B3" w14:paraId="2511AC15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05AA" w14:textId="77777777" w:rsidR="009A18EE" w:rsidRPr="003160B3" w:rsidRDefault="00243143" w:rsidP="003160B3">
            <w:pPr>
              <w:spacing w:after="240" w:line="276" w:lineRule="auto"/>
              <w:jc w:val="center"/>
              <w:rPr>
                <w:b/>
              </w:rPr>
            </w:pPr>
            <w:r w:rsidRPr="003160B3">
              <w:rPr>
                <w:b/>
              </w:rPr>
              <w:t xml:space="preserve">Мера </w:t>
            </w:r>
            <w:r w:rsidR="00EE22A6" w:rsidRPr="003160B3">
              <w:rPr>
                <w:b/>
              </w:rPr>
              <w:t>2.3: Унапређење стручних капацитета ОЦД за транспарентно управљање додељеним буџетским средствима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3CCC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97C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8AF" w14:textId="77777777" w:rsidR="009A18EE" w:rsidRPr="003160B3" w:rsidRDefault="009A18EE" w:rsidP="003160B3">
            <w:pPr>
              <w:spacing w:after="240" w:line="276" w:lineRule="auto"/>
              <w:jc w:val="center"/>
            </w:pPr>
          </w:p>
        </w:tc>
      </w:tr>
      <w:tr w:rsidR="00B24AE2" w:rsidRPr="003160B3" w14:paraId="113908F2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ACB" w14:textId="77777777" w:rsidR="009A18EE" w:rsidRPr="003160B3" w:rsidRDefault="00EE22A6" w:rsidP="003160B3">
            <w:pPr>
              <w:spacing w:after="240" w:line="276" w:lineRule="auto"/>
              <w:jc w:val="center"/>
            </w:pPr>
            <w:r w:rsidRPr="003160B3">
              <w:t>Број спроведених обука на годишњем нивоу, на тему транспарентно управљање додељеним буџетским средствима на годишњем нивоу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9D6E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D14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31E" w14:textId="77777777" w:rsidR="009A18EE" w:rsidRPr="00B209BB" w:rsidRDefault="00330E5A" w:rsidP="00B209BB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209BB">
              <w:rPr>
                <w:b/>
                <w:lang w:val="sr-Cyrl-RS"/>
              </w:rPr>
              <w:t>Није остварено</w:t>
            </w:r>
          </w:p>
          <w:p w14:paraId="10D4502B" w14:textId="5C8BC746" w:rsidR="00E0483D" w:rsidRDefault="00E0483D" w:rsidP="00B209BB">
            <w:pPr>
              <w:spacing w:after="240" w:line="276" w:lineRule="auto"/>
              <w:jc w:val="both"/>
            </w:pPr>
          </w:p>
          <w:p w14:paraId="0B31D159" w14:textId="3CA19A63" w:rsidR="001B7694" w:rsidRPr="001B7694" w:rsidRDefault="001B7694" w:rsidP="001B7694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Планирани рок реализације обука је 2026. годин</w:t>
            </w:r>
            <w:r w:rsidR="00547C8A">
              <w:rPr>
                <w:lang w:val="sr-Cyrl-RS"/>
              </w:rPr>
              <w:t xml:space="preserve">е те ће подаци о остварености индикатора бити доступни крајем 2026.године.  </w:t>
            </w:r>
            <w:r>
              <w:rPr>
                <w:lang w:val="sr-Cyrl-RS"/>
              </w:rPr>
              <w:t xml:space="preserve"> </w:t>
            </w:r>
          </w:p>
        </w:tc>
      </w:tr>
      <w:tr w:rsidR="00B24AE2" w:rsidRPr="003160B3" w14:paraId="2A16D7B6" w14:textId="77777777" w:rsidTr="009A18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593" w14:textId="77777777" w:rsidR="009A18EE" w:rsidRPr="003160B3" w:rsidRDefault="00EE22A6" w:rsidP="003160B3">
            <w:pPr>
              <w:spacing w:after="240" w:line="276" w:lineRule="auto"/>
              <w:jc w:val="center"/>
            </w:pPr>
            <w:r w:rsidRPr="003160B3">
              <w:t xml:space="preserve">Број обучених представника ОЦД на годишњем нивоу, у области транспарентно управљање додељеним буџетским средствима </w:t>
            </w:r>
            <w:r w:rsidRPr="003160B3">
              <w:lastRenderedPageBreak/>
              <w:t>на годишњем нивоу (Број)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1F1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96B6" w14:textId="77777777" w:rsidR="009A18EE" w:rsidRPr="003160B3" w:rsidRDefault="00330E5A" w:rsidP="003160B3">
            <w:pPr>
              <w:spacing w:after="240" w:line="276" w:lineRule="auto"/>
              <w:jc w:val="center"/>
              <w:rPr>
                <w:lang w:val="sr-Cyrl-RS"/>
              </w:rPr>
            </w:pPr>
            <w:r w:rsidRPr="003160B3">
              <w:rPr>
                <w:lang w:val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DFF" w14:textId="77777777" w:rsidR="00B209BB" w:rsidRPr="00B209BB" w:rsidRDefault="00B209BB" w:rsidP="00B209BB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209BB">
              <w:rPr>
                <w:b/>
                <w:lang w:val="sr-Cyrl-RS"/>
              </w:rPr>
              <w:t>Није остварено</w:t>
            </w:r>
          </w:p>
          <w:p w14:paraId="64B5B613" w14:textId="076153CA" w:rsidR="009A18EE" w:rsidRPr="003160B3" w:rsidRDefault="00547C8A" w:rsidP="00B209BB">
            <w:pPr>
              <w:spacing w:after="240"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Планирани рок реализације обука је 2026. године те ће подаци о остварености индикатора бити доступни крајем 2026.године.   </w:t>
            </w:r>
          </w:p>
        </w:tc>
      </w:tr>
    </w:tbl>
    <w:p w14:paraId="15AFD9BE" w14:textId="77777777" w:rsidR="00E52E45" w:rsidRDefault="00AC4B4D" w:rsidP="003E5217">
      <w:pPr>
        <w:pStyle w:val="NormalWeb"/>
        <w:jc w:val="both"/>
        <w:rPr>
          <w:rStyle w:val="Strong"/>
          <w:rFonts w:eastAsia="Andale Sans UI"/>
          <w:b w:val="0"/>
        </w:rPr>
      </w:pPr>
      <w:r>
        <w:rPr>
          <w:rStyle w:val="Strong"/>
          <w:rFonts w:eastAsia="Andale Sans UI"/>
          <w:b w:val="0"/>
        </w:rPr>
        <w:t>У погледу остварености</w:t>
      </w:r>
      <w:r w:rsidR="003E5217" w:rsidRPr="003E5217">
        <w:rPr>
          <w:rStyle w:val="Strong"/>
          <w:rFonts w:eastAsia="Andale Sans UI"/>
          <w:b w:val="0"/>
        </w:rPr>
        <w:t xml:space="preserve"> Посебан</w:t>
      </w:r>
      <w:r>
        <w:rPr>
          <w:rStyle w:val="Strong"/>
          <w:rFonts w:eastAsia="Andale Sans UI"/>
          <w:b w:val="0"/>
        </w:rPr>
        <w:t>ог</w:t>
      </w:r>
      <w:r w:rsidR="003E5217" w:rsidRPr="003E5217">
        <w:rPr>
          <w:rStyle w:val="Strong"/>
          <w:rFonts w:eastAsia="Andale Sans UI"/>
          <w:b w:val="0"/>
        </w:rPr>
        <w:t xml:space="preserve"> циљ</w:t>
      </w:r>
      <w:r>
        <w:rPr>
          <w:rStyle w:val="Strong"/>
          <w:rFonts w:eastAsia="Andale Sans UI"/>
          <w:b w:val="0"/>
        </w:rPr>
        <w:t>а</w:t>
      </w:r>
      <w:r w:rsidR="003E5217" w:rsidRPr="003E5217">
        <w:rPr>
          <w:rStyle w:val="Strong"/>
          <w:rFonts w:eastAsia="Andale Sans UI"/>
          <w:b w:val="0"/>
        </w:rPr>
        <w:t xml:space="preserve"> 2 – Унапређено транспарентно финансирање и одрживост цивилног сектора </w:t>
      </w:r>
      <w:r>
        <w:rPr>
          <w:rStyle w:val="Strong"/>
          <w:rFonts w:eastAsia="Andale Sans UI"/>
          <w:b w:val="0"/>
        </w:rPr>
        <w:t xml:space="preserve">може се оценити да је </w:t>
      </w:r>
      <w:r w:rsidR="003E5217" w:rsidRPr="003E5217">
        <w:rPr>
          <w:rStyle w:val="Strong"/>
          <w:rFonts w:eastAsia="Andale Sans UI"/>
          <w:b w:val="0"/>
        </w:rPr>
        <w:t xml:space="preserve"> делимично остварен у 2025. години. </w:t>
      </w:r>
    </w:p>
    <w:p w14:paraId="495E2EAB" w14:textId="43857427" w:rsidR="003E5217" w:rsidRPr="003E5217" w:rsidRDefault="006E3F89" w:rsidP="003E5217">
      <w:pPr>
        <w:pStyle w:val="NormalWeb"/>
        <w:jc w:val="both"/>
      </w:pPr>
      <w:r>
        <w:rPr>
          <w:rStyle w:val="Strong"/>
          <w:rFonts w:eastAsia="Andale Sans UI"/>
          <w:b w:val="0"/>
        </w:rPr>
        <w:t>Н</w:t>
      </w:r>
      <w:r w:rsidR="003E5217" w:rsidRPr="003E5217">
        <w:rPr>
          <w:rStyle w:val="Strong"/>
          <w:rFonts w:eastAsia="Andale Sans UI"/>
          <w:b w:val="0"/>
        </w:rPr>
        <w:t>апредак</w:t>
      </w:r>
      <w:r>
        <w:rPr>
          <w:rStyle w:val="Strong"/>
          <w:rFonts w:eastAsia="Andale Sans UI"/>
          <w:b w:val="0"/>
        </w:rPr>
        <w:t xml:space="preserve"> је</w:t>
      </w:r>
      <w:r w:rsidR="003E5217" w:rsidRPr="003E5217">
        <w:rPr>
          <w:rStyle w:val="Strong"/>
          <w:rFonts w:eastAsia="Andale Sans UI"/>
          <w:b w:val="0"/>
        </w:rPr>
        <w:t xml:space="preserve"> постигнут у области повећања транспарентности финансирања програма и пројеката организација цивилног друштва из буџетских средстава</w:t>
      </w:r>
      <w:r>
        <w:rPr>
          <w:rStyle w:val="Strong"/>
          <w:rFonts w:eastAsia="Andale Sans UI"/>
          <w:b w:val="0"/>
        </w:rPr>
        <w:t xml:space="preserve"> објавом информација о Годишњем и плановима расписивањима јавних конкурса за подршку пројектима и програмима организација цивилног друштва и објавом резултата јавних конкурса. </w:t>
      </w:r>
      <w:r w:rsidR="00DF64FA">
        <w:rPr>
          <w:rStyle w:val="Strong"/>
          <w:rFonts w:eastAsia="Andale Sans UI"/>
          <w:b w:val="0"/>
        </w:rPr>
        <w:t xml:space="preserve">Најзначајнији напредак је постигнут у </w:t>
      </w:r>
      <w:r w:rsidR="00796784">
        <w:rPr>
          <w:rStyle w:val="Strong"/>
          <w:rFonts w:eastAsia="Andale Sans UI"/>
          <w:b w:val="0"/>
        </w:rPr>
        <w:t>активностима</w:t>
      </w:r>
      <w:r w:rsidR="00DF64FA">
        <w:rPr>
          <w:rStyle w:val="Strong"/>
          <w:rFonts w:eastAsia="Andale Sans UI"/>
          <w:b w:val="0"/>
        </w:rPr>
        <w:t xml:space="preserve"> подизања капацитета органа јавне управе за </w:t>
      </w:r>
      <w:r w:rsidR="00DF64FA" w:rsidRPr="003160B3">
        <w:t>транспарентну доделу, праћење и евалуацију доделе буџетских средстава намењених за програме и пројекте ОЦД</w:t>
      </w:r>
      <w:r w:rsidR="00DF64FA">
        <w:t xml:space="preserve"> и то у </w:t>
      </w:r>
      <w:r w:rsidR="005F13A1">
        <w:t>вишеструко</w:t>
      </w:r>
      <w:r w:rsidR="00DF64FA">
        <w:t xml:space="preserve"> већем обухвату запослених у органима јавне управе који су похађали обуке. </w:t>
      </w:r>
    </w:p>
    <w:p w14:paraId="2306E22C" w14:textId="5555E2B8" w:rsidR="003E5217" w:rsidRPr="003E5217" w:rsidRDefault="009F6846" w:rsidP="003E5217">
      <w:pPr>
        <w:pStyle w:val="NormalWeb"/>
        <w:jc w:val="both"/>
      </w:pPr>
      <w:r>
        <w:rPr>
          <w:rStyle w:val="Strong"/>
          <w:rFonts w:eastAsia="Andale Sans UI"/>
          <w:b w:val="0"/>
        </w:rPr>
        <w:t xml:space="preserve">У погледу </w:t>
      </w:r>
      <w:r w:rsidR="006E3F89">
        <w:rPr>
          <w:rStyle w:val="Strong"/>
          <w:rFonts w:eastAsia="Andale Sans UI"/>
          <w:b w:val="0"/>
        </w:rPr>
        <w:t>нор</w:t>
      </w:r>
      <w:r w:rsidR="007C21D5">
        <w:rPr>
          <w:rStyle w:val="Strong"/>
          <w:rFonts w:eastAsia="Andale Sans UI"/>
          <w:b w:val="0"/>
        </w:rPr>
        <w:t xml:space="preserve">мативног оквира </w:t>
      </w:r>
      <w:r w:rsidR="006E3F89">
        <w:rPr>
          <w:rStyle w:val="Strong"/>
          <w:rFonts w:eastAsia="Andale Sans UI"/>
          <w:b w:val="0"/>
        </w:rPr>
        <w:t xml:space="preserve">који уређује финансирање организација цивилног друштва из буџетских средстава, није било измена током извештајног периода. </w:t>
      </w:r>
      <w:r w:rsidR="00C743ED">
        <w:rPr>
          <w:rStyle w:val="Strong"/>
          <w:rFonts w:eastAsia="Andale Sans UI"/>
          <w:b w:val="0"/>
        </w:rPr>
        <w:t xml:space="preserve">Према информацијама достављеним од </w:t>
      </w:r>
      <w:r w:rsidR="003E5217" w:rsidRPr="003E5217">
        <w:rPr>
          <w:rStyle w:val="Strong"/>
          <w:rFonts w:eastAsia="Andale Sans UI"/>
          <w:b w:val="0"/>
        </w:rPr>
        <w:t xml:space="preserve"> Министарства финансија, у 2026. години планиране су измене Правилника о стандардном класификационом оквиру и контном плану за буџетски систем, које подразумевају отварање субаналитичког конта у оквиру аналитичког конта 481940 – Дотације осталим удружењима грађана и политичким странкама. На тај начин омогућиће се јасније раздвајање дотација удружењима, задужбинама и фондацијама од дотација политичким странкама, верским и етничким заједницама, као и другим субјектима чије је финансирање регулисано посебним прописима.</w:t>
      </w:r>
    </w:p>
    <w:p w14:paraId="5A1F6921" w14:textId="4CBA1C1D" w:rsidR="003E5217" w:rsidRPr="003E5217" w:rsidRDefault="003E5217" w:rsidP="003E5217">
      <w:pPr>
        <w:pStyle w:val="NormalWeb"/>
        <w:jc w:val="both"/>
      </w:pPr>
      <w:r w:rsidRPr="003E5217">
        <w:rPr>
          <w:rStyle w:val="Strong"/>
          <w:rFonts w:eastAsia="Andale Sans UI"/>
          <w:b w:val="0"/>
        </w:rPr>
        <w:t>Додатно, у области јачања кадровских и стручних капацитета јав</w:t>
      </w:r>
      <w:r w:rsidR="007C21D5">
        <w:rPr>
          <w:rStyle w:val="Strong"/>
          <w:rFonts w:eastAsia="Andale Sans UI"/>
          <w:b w:val="0"/>
        </w:rPr>
        <w:t>не управе забележен је напредак</w:t>
      </w:r>
      <w:r w:rsidRPr="003E5217">
        <w:rPr>
          <w:rStyle w:val="Strong"/>
          <w:rFonts w:eastAsia="Andale Sans UI"/>
          <w:b w:val="0"/>
        </w:rPr>
        <w:t>.</w:t>
      </w:r>
    </w:p>
    <w:p w14:paraId="02110B35" w14:textId="780B18DF" w:rsidR="003B4259" w:rsidRDefault="003B4259" w:rsidP="003E5217">
      <w:pPr>
        <w:pStyle w:val="NormalWeb"/>
        <w:spacing w:after="240" w:afterAutospacing="0" w:line="276" w:lineRule="auto"/>
        <w:jc w:val="both"/>
      </w:pPr>
      <w:r>
        <w:t xml:space="preserve">Имајући у виду наведене резултате, највећи напредак остварен је у сегменту </w:t>
      </w:r>
      <w:r w:rsidR="006E3F89">
        <w:t xml:space="preserve">подизања капацитета јавне управе </w:t>
      </w:r>
      <w:r>
        <w:t>транспарентности финансирања</w:t>
      </w:r>
      <w:r w:rsidR="006E3F89">
        <w:t xml:space="preserve"> организација цивилног друштва из јавних средстава</w:t>
      </w:r>
      <w:r>
        <w:t xml:space="preserve">. </w:t>
      </w:r>
      <w:r w:rsidR="007C21D5">
        <w:t>У</w:t>
      </w:r>
      <w:r w:rsidR="006E3F89">
        <w:t xml:space="preserve">напређење </w:t>
      </w:r>
      <w:r w:rsidR="007C21D5">
        <w:t>нормативног оквира за финансирање</w:t>
      </w:r>
      <w:r>
        <w:t xml:space="preserve"> </w:t>
      </w:r>
      <w:r w:rsidR="00DF64FA">
        <w:t xml:space="preserve">организација цивилног друштва из буџетских средстава </w:t>
      </w:r>
      <w:r>
        <w:t xml:space="preserve">и систематско јачање капацитета </w:t>
      </w:r>
      <w:r w:rsidR="00DF64FA">
        <w:t xml:space="preserve">организација цивилног друштва </w:t>
      </w:r>
      <w:r>
        <w:t>остају области које захтевају додатне напоре у наредном периоду, како би се оствари</w:t>
      </w:r>
      <w:r w:rsidR="007C21D5">
        <w:t>о постављени стратешки циљ.</w:t>
      </w:r>
    </w:p>
    <w:p w14:paraId="2628D1F6" w14:textId="77777777" w:rsidR="002B047D" w:rsidRPr="003B4259" w:rsidRDefault="00BB791A" w:rsidP="003E5217">
      <w:pPr>
        <w:pStyle w:val="NormalWeb"/>
        <w:spacing w:after="240" w:afterAutospacing="0" w:line="276" w:lineRule="auto"/>
        <w:jc w:val="both"/>
        <w:rPr>
          <w:rStyle w:val="Strong"/>
        </w:rPr>
      </w:pPr>
      <w:r w:rsidRPr="003E5217">
        <w:rPr>
          <w:b/>
        </w:rPr>
        <w:t xml:space="preserve">Посебан циљ 3: </w:t>
      </w:r>
      <w:r w:rsidRPr="003B4259">
        <w:rPr>
          <w:rStyle w:val="Strong"/>
        </w:rPr>
        <w:t>Обезбеђено веће учешће ОЦД у социо – економском развоју и деловање у складу са начелима одрживог развоја</w:t>
      </w:r>
    </w:p>
    <w:p w14:paraId="070B94C6" w14:textId="77777777" w:rsidR="00243143" w:rsidRPr="00F41CE2" w:rsidRDefault="00243143" w:rsidP="00F41CE2">
      <w:pPr>
        <w:pStyle w:val="Heading3"/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lang w:val="sr-Cyrl-RS"/>
        </w:rPr>
      </w:pPr>
      <w:bookmarkStart w:id="15" w:name="_Toc222911263"/>
      <w:bookmarkStart w:id="16" w:name="_Toc222911366"/>
      <w:r w:rsidRPr="00F41CE2">
        <w:rPr>
          <w:rFonts w:ascii="Times New Roman" w:hAnsi="Times New Roman" w:cs="Times New Roman"/>
          <w:color w:val="auto"/>
        </w:rPr>
        <w:lastRenderedPageBreak/>
        <w:t>Преглед остварености показатеља и мера</w:t>
      </w:r>
      <w:r w:rsidRPr="00F41CE2">
        <w:rPr>
          <w:rFonts w:ascii="Times New Roman" w:hAnsi="Times New Roman" w:cs="Times New Roman"/>
          <w:color w:val="auto"/>
          <w:lang w:val="sr-Cyrl-RS"/>
        </w:rPr>
        <w:t xml:space="preserve"> за Посебан циљ 3</w:t>
      </w:r>
      <w:bookmarkEnd w:id="15"/>
      <w:bookmarkEnd w:id="16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1160"/>
        <w:gridCol w:w="1210"/>
        <w:gridCol w:w="3620"/>
      </w:tblGrid>
      <w:tr w:rsidR="00C91AE0" w:rsidRPr="00F41CE2" w14:paraId="3E760F58" w14:textId="77777777" w:rsidTr="00BB79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573191" w14:textId="6D59E2E2" w:rsidR="00BB791A" w:rsidRPr="00033689" w:rsidRDefault="00BB791A" w:rsidP="00033689">
            <w:pPr>
              <w:widowControl/>
              <w:suppressAutoHyphens w:val="0"/>
              <w:spacing w:after="240" w:line="276" w:lineRule="auto"/>
              <w:rPr>
                <w:rFonts w:eastAsia="Times New Roman"/>
                <w:bCs/>
                <w:kern w:val="0"/>
                <w:lang w:val="sr-Cyrl-RS" w:eastAsia="sr-Cyrl-RS"/>
              </w:rPr>
            </w:pPr>
            <w:r w:rsidRPr="00033689">
              <w:rPr>
                <w:rFonts w:eastAsia="Times New Roman"/>
                <w:bCs/>
                <w:kern w:val="0"/>
                <w:lang w:val="sr-Cyrl-RS" w:eastAsia="sr-Cyrl-RS"/>
              </w:rPr>
              <w:t xml:space="preserve"> Показатељ</w:t>
            </w:r>
            <w:r w:rsidR="00C743ED">
              <w:rPr>
                <w:rFonts w:eastAsia="Times New Roman"/>
                <w:bCs/>
                <w:kern w:val="0"/>
                <w:lang w:val="sr-Cyrl-RS" w:eastAsia="sr-Cyrl-RS"/>
              </w:rPr>
              <w:t xml:space="preserve"> Посебног циља 3 </w:t>
            </w:r>
          </w:p>
        </w:tc>
        <w:tc>
          <w:tcPr>
            <w:tcW w:w="0" w:type="auto"/>
            <w:vAlign w:val="center"/>
            <w:hideMark/>
          </w:tcPr>
          <w:p w14:paraId="46156603" w14:textId="77777777" w:rsidR="00BB791A" w:rsidRPr="00033689" w:rsidRDefault="00BB791A" w:rsidP="00033689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Cs/>
                <w:kern w:val="0"/>
                <w:lang w:val="sr-Cyrl-RS" w:eastAsia="sr-Cyrl-RS"/>
              </w:rPr>
            </w:pPr>
            <w:r w:rsidRPr="00033689">
              <w:rPr>
                <w:rFonts w:eastAsia="Times New Roman"/>
                <w:bCs/>
                <w:kern w:val="0"/>
                <w:lang w:val="sr-Cyrl-RS" w:eastAsia="sr-Cyrl-RS"/>
              </w:rPr>
              <w:t>Циљ 2025</w:t>
            </w:r>
          </w:p>
        </w:tc>
        <w:tc>
          <w:tcPr>
            <w:tcW w:w="0" w:type="auto"/>
            <w:vAlign w:val="center"/>
            <w:hideMark/>
          </w:tcPr>
          <w:p w14:paraId="3DF74EDE" w14:textId="77777777" w:rsidR="00BB791A" w:rsidRPr="00033689" w:rsidRDefault="00BB791A" w:rsidP="00033689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Cs/>
                <w:kern w:val="0"/>
                <w:lang w:val="sr-Cyrl-RS" w:eastAsia="sr-Cyrl-RS"/>
              </w:rPr>
            </w:pPr>
            <w:r w:rsidRPr="00033689">
              <w:rPr>
                <w:rFonts w:eastAsia="Times New Roman"/>
                <w:bCs/>
                <w:kern w:val="0"/>
                <w:lang w:val="sr-Cyrl-RS" w:eastAsia="sr-Cyrl-RS"/>
              </w:rPr>
              <w:t>Остварење 2025</w:t>
            </w:r>
          </w:p>
        </w:tc>
        <w:tc>
          <w:tcPr>
            <w:tcW w:w="0" w:type="auto"/>
            <w:vAlign w:val="center"/>
            <w:hideMark/>
          </w:tcPr>
          <w:p w14:paraId="539962F4" w14:textId="77777777" w:rsidR="00BB791A" w:rsidRPr="00033689" w:rsidRDefault="00BB791A" w:rsidP="00033689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Cs/>
                <w:kern w:val="0"/>
                <w:lang w:val="sr-Cyrl-RS" w:eastAsia="sr-Cyrl-RS"/>
              </w:rPr>
            </w:pPr>
            <w:r w:rsidRPr="00033689">
              <w:rPr>
                <w:rFonts w:eastAsia="Times New Roman"/>
                <w:bCs/>
                <w:kern w:val="0"/>
                <w:lang w:val="sr-Cyrl-RS" w:eastAsia="sr-Cyrl-RS"/>
              </w:rPr>
              <w:t>Статус</w:t>
            </w:r>
          </w:p>
        </w:tc>
      </w:tr>
      <w:tr w:rsidR="00C91AE0" w:rsidRPr="00F41CE2" w14:paraId="37A53EA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7819A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Унапређен стратешки и нормативни оквир који јача улогу ОЦД у областима од значаја за социо-економски развој</w:t>
            </w:r>
          </w:p>
        </w:tc>
        <w:tc>
          <w:tcPr>
            <w:tcW w:w="0" w:type="auto"/>
            <w:vAlign w:val="center"/>
            <w:hideMark/>
          </w:tcPr>
          <w:p w14:paraId="3673DA98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95D768" w14:textId="77777777" w:rsidR="00BB791A" w:rsidRPr="009F6846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246E5450" w14:textId="0DE46440" w:rsidR="00E0483D" w:rsidRPr="009F6846" w:rsidRDefault="00C743ED" w:rsidP="009F6846">
            <w:pPr>
              <w:shd w:val="clear" w:color="auto" w:fill="FFFFFF"/>
              <w:ind w:right="67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9F6846">
              <w:rPr>
                <w:rFonts w:eastAsia="Times New Roman"/>
                <w:kern w:val="0"/>
                <w:lang w:val="sr-Cyrl-RS" w:eastAsia="sr-Cyrl-RS"/>
              </w:rPr>
              <w:t xml:space="preserve">Није </w:t>
            </w:r>
            <w:r w:rsidR="009F6846">
              <w:rPr>
                <w:rFonts w:eastAsia="Times New Roman"/>
                <w:kern w:val="0"/>
                <w:lang w:val="sr-Cyrl-RS" w:eastAsia="sr-Cyrl-RS"/>
              </w:rPr>
              <w:t>остварено</w:t>
            </w:r>
            <w:r w:rsidR="009F6846" w:rsidRPr="009F6846">
              <w:rPr>
                <w:rFonts w:eastAsia="Times New Roman"/>
                <w:kern w:val="0"/>
                <w:lang w:val="sr-Cyrl-RS" w:eastAsia="sr-Cyrl-RS"/>
              </w:rPr>
              <w:t>.</w:t>
            </w:r>
          </w:p>
        </w:tc>
      </w:tr>
      <w:tr w:rsidR="00C91AE0" w:rsidRPr="00F41CE2" w14:paraId="0148AA0B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17258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Дефинисане јавне политике које се ослањају на сарадњу са ОЦД у складу са начелима одрживог развоја</w:t>
            </w:r>
          </w:p>
        </w:tc>
        <w:tc>
          <w:tcPr>
            <w:tcW w:w="0" w:type="auto"/>
            <w:vAlign w:val="center"/>
            <w:hideMark/>
          </w:tcPr>
          <w:p w14:paraId="0A6C8678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6F5DA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219C3923" w14:textId="2C9A41BE" w:rsidR="006E3F89" w:rsidRPr="007C21D5" w:rsidRDefault="006E3F89" w:rsidP="00E0483D">
            <w:pPr>
              <w:widowControl/>
              <w:suppressAutoHyphens w:val="0"/>
              <w:spacing w:after="240" w:line="276" w:lineRule="auto"/>
              <w:jc w:val="both"/>
              <w:rPr>
                <w:lang w:val="sr-Cyrl-RS"/>
              </w:rPr>
            </w:pPr>
            <w:r w:rsidRPr="007C21D5">
              <w:rPr>
                <w:lang w:val="sr-Cyrl-RS"/>
              </w:rPr>
              <w:t xml:space="preserve">Подаци о оствареној вредности нису доступни. </w:t>
            </w:r>
          </w:p>
        </w:tc>
      </w:tr>
      <w:tr w:rsidR="00C91AE0" w:rsidRPr="00F41CE2" w14:paraId="79E8A0FF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00F8F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Унапређена свест грађана, нарочито младих, о друштвеном значају и ефектима волонтирања и филантропских активности</w:t>
            </w:r>
          </w:p>
        </w:tc>
        <w:tc>
          <w:tcPr>
            <w:tcW w:w="0" w:type="auto"/>
            <w:vAlign w:val="center"/>
            <w:hideMark/>
          </w:tcPr>
          <w:p w14:paraId="0C51B732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EDBABA" w14:textId="607720BE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63D4416C" w14:textId="595A5053" w:rsidR="0076737C" w:rsidRPr="007C21D5" w:rsidRDefault="0076737C" w:rsidP="00F41CE2">
            <w:pPr>
              <w:widowControl/>
              <w:suppressAutoHyphens w:val="0"/>
              <w:spacing w:after="240" w:line="276" w:lineRule="auto"/>
              <w:jc w:val="both"/>
            </w:pPr>
          </w:p>
          <w:p w14:paraId="23F7F116" w14:textId="7C8417EC" w:rsidR="006E3F89" w:rsidRPr="007C21D5" w:rsidRDefault="006E3F89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7C21D5">
              <w:rPr>
                <w:lang w:val="sr-Cyrl-RS"/>
              </w:rPr>
              <w:t xml:space="preserve">Подаци нису доступни. </w:t>
            </w:r>
          </w:p>
        </w:tc>
      </w:tr>
      <w:tr w:rsidR="00C743ED" w:rsidRPr="00F41CE2" w14:paraId="63B36B59" w14:textId="77777777" w:rsidTr="00BB791A">
        <w:trPr>
          <w:tblCellSpacing w:w="15" w:type="dxa"/>
        </w:trPr>
        <w:tc>
          <w:tcPr>
            <w:tcW w:w="0" w:type="auto"/>
            <w:vAlign w:val="center"/>
          </w:tcPr>
          <w:p w14:paraId="19720969" w14:textId="731DE481" w:rsidR="00C743ED" w:rsidRPr="00F41CE2" w:rsidRDefault="00C743ED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t xml:space="preserve">Мера </w:t>
            </w:r>
          </w:p>
        </w:tc>
        <w:tc>
          <w:tcPr>
            <w:tcW w:w="0" w:type="auto"/>
            <w:vAlign w:val="center"/>
          </w:tcPr>
          <w:p w14:paraId="46DFC0AF" w14:textId="77777777" w:rsidR="00C743ED" w:rsidRPr="00F41CE2" w:rsidRDefault="00C743ED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</w:tcPr>
          <w:p w14:paraId="10EFD49E" w14:textId="77777777" w:rsidR="00C743ED" w:rsidRPr="00F41CE2" w:rsidRDefault="00C743ED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</w:tcPr>
          <w:p w14:paraId="5BBC591C" w14:textId="77777777" w:rsidR="00C743ED" w:rsidRPr="007C21D5" w:rsidRDefault="00C743ED" w:rsidP="00F41CE2">
            <w:pPr>
              <w:widowControl/>
              <w:suppressAutoHyphens w:val="0"/>
              <w:spacing w:after="240" w:line="276" w:lineRule="auto"/>
              <w:jc w:val="both"/>
            </w:pPr>
          </w:p>
        </w:tc>
      </w:tr>
      <w:tr w:rsidR="00C91AE0" w:rsidRPr="00F41CE2" w14:paraId="5E18265A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545D4" w14:textId="77777777" w:rsidR="00BB791A" w:rsidRPr="00F41CE2" w:rsidRDefault="00C91AE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3.1: Унапређење нормативног оквира у области социјалне заштите, који је усклађен са међународним стандардима и обезбеђује одрживост услуга које пружају ОЦД</w:t>
            </w:r>
          </w:p>
        </w:tc>
        <w:tc>
          <w:tcPr>
            <w:tcW w:w="0" w:type="auto"/>
            <w:vAlign w:val="center"/>
            <w:hideMark/>
          </w:tcPr>
          <w:p w14:paraId="6A04C522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540B919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5ADCA7A4" w14:textId="32AAA663" w:rsidR="00BB791A" w:rsidRPr="00E32DF8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highlight w:val="yellow"/>
                <w:lang w:val="sr-Cyrl-RS" w:eastAsia="sr-Cyrl-RS"/>
              </w:rPr>
            </w:pPr>
          </w:p>
        </w:tc>
      </w:tr>
      <w:tr w:rsidR="00C91AE0" w:rsidRPr="00F41CE2" w14:paraId="22C00CDA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43A7D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 xml:space="preserve">Израђени предлог </w:t>
            </w:r>
            <w:r w:rsidRPr="00796784">
              <w:rPr>
                <w:rFonts w:eastAsia="Times New Roman"/>
                <w:kern w:val="0"/>
                <w:lang w:val="sr-Cyrl-RS" w:eastAsia="sr-Cyrl-RS"/>
              </w:rPr>
              <w:t>стратешког оквира у области социјалне заштите,</w:t>
            </w:r>
            <w:r w:rsidRPr="00F41CE2">
              <w:rPr>
                <w:rFonts w:eastAsia="Times New Roman"/>
                <w:kern w:val="0"/>
                <w:lang w:val="sr-Cyrl-RS" w:eastAsia="sr-Cyrl-RS"/>
              </w:rPr>
              <w:t xml:space="preserve"> који је усклађен са међународним стандардима и узима у обзир досадашња искуства ОЦД као пружалаца услуга</w:t>
            </w:r>
          </w:p>
        </w:tc>
        <w:tc>
          <w:tcPr>
            <w:tcW w:w="0" w:type="auto"/>
            <w:vAlign w:val="center"/>
            <w:hideMark/>
          </w:tcPr>
          <w:p w14:paraId="6EC4A78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5C936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8FC5D6" w14:textId="77777777" w:rsidR="00BB791A" w:rsidRPr="00D92310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D92310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2D3BCB35" w14:textId="246857C6" w:rsidR="00E0483D" w:rsidRPr="00D92310" w:rsidRDefault="00E0483D" w:rsidP="00496933">
            <w:pPr>
              <w:pStyle w:val="NormalWeb"/>
              <w:jc w:val="both"/>
            </w:pPr>
            <w:r w:rsidRPr="00D92310">
              <w:t>Стратегија деинституционализације и развоја услуга социјалне заштите за период 2022-2026. године,</w:t>
            </w:r>
            <w:r w:rsidR="00D92310">
              <w:t xml:space="preserve"> </w:t>
            </w:r>
            <w:r w:rsidR="003330E1" w:rsidRPr="00D92310">
              <w:t>није усвојена.</w:t>
            </w:r>
            <w:r w:rsidR="004470CC" w:rsidRPr="00D92310">
              <w:t xml:space="preserve"> </w:t>
            </w:r>
            <w:r w:rsidR="003330E1" w:rsidRPr="00D92310">
              <w:t>О</w:t>
            </w:r>
            <w:r w:rsidRPr="00D92310">
              <w:t>рганизације цивилног друштва биле су укључене у процес и</w:t>
            </w:r>
            <w:r w:rsidR="00D0332A" w:rsidRPr="00D92310">
              <w:t xml:space="preserve">зраде како стратешког </w:t>
            </w:r>
            <w:r w:rsidR="00D0332A" w:rsidRPr="00D92310">
              <w:lastRenderedPageBreak/>
              <w:t>документа</w:t>
            </w:r>
            <w:r w:rsidRPr="00D92310">
              <w:t xml:space="preserve"> тако и Акционог плана за његово спровођење. </w:t>
            </w:r>
          </w:p>
          <w:p w14:paraId="69EF7749" w14:textId="77777777" w:rsidR="00E0483D" w:rsidRPr="00E32DF8" w:rsidRDefault="00E0483D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highlight w:val="yellow"/>
                <w:lang w:val="sr-Cyrl-RS" w:eastAsia="sr-Cyrl-RS"/>
              </w:rPr>
            </w:pPr>
          </w:p>
        </w:tc>
      </w:tr>
      <w:tr w:rsidR="00C91AE0" w:rsidRPr="00F41CE2" w14:paraId="52998711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9DF2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lastRenderedPageBreak/>
              <w:t>Израђени Нацрт закона о изменама и допунама Закона о социјалној заштити у складу са новим стратешким документом, укључујући пратеће подзаконске акте</w:t>
            </w:r>
          </w:p>
        </w:tc>
        <w:tc>
          <w:tcPr>
            <w:tcW w:w="0" w:type="auto"/>
            <w:vAlign w:val="center"/>
            <w:hideMark/>
          </w:tcPr>
          <w:p w14:paraId="41B30B2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C08AA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194D3B5" w14:textId="77777777" w:rsidR="00BB791A" w:rsidRPr="00D92310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D92310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558A9DD2" w14:textId="77777777" w:rsidR="00E0483D" w:rsidRPr="00D92310" w:rsidRDefault="00E0483D" w:rsidP="00496933">
            <w:pPr>
              <w:pStyle w:val="NormalWeb"/>
              <w:jc w:val="both"/>
            </w:pPr>
            <w:r w:rsidRPr="00D92310">
              <w:t>Закон о изменама и допунама Закона о социјалној заштити још увек није донет и актуелно се ради на формирању Радне групе која</w:t>
            </w:r>
            <w:r w:rsidR="00D0332A" w:rsidRPr="00D92310">
              <w:t xml:space="preserve"> </w:t>
            </w:r>
            <w:r w:rsidRPr="00D92310">
              <w:t xml:space="preserve">ће радити на иницијалној верзији Нацрта закона. </w:t>
            </w:r>
          </w:p>
          <w:p w14:paraId="31778E44" w14:textId="45AD9803" w:rsidR="00E0483D" w:rsidRPr="00D92310" w:rsidRDefault="00E0483D" w:rsidP="00E52E45">
            <w:pPr>
              <w:pStyle w:val="NormalWeb"/>
              <w:jc w:val="both"/>
            </w:pPr>
            <w:r w:rsidRPr="00D92310">
              <w:t xml:space="preserve">Урађена је </w:t>
            </w:r>
            <w:r w:rsidR="00E52E45">
              <w:rPr>
                <w:lang w:val="en-US"/>
              </w:rPr>
              <w:t xml:space="preserve"> ex ante</w:t>
            </w:r>
            <w:r w:rsidRPr="00D92310">
              <w:t xml:space="preserve"> </w:t>
            </w:r>
            <w:r w:rsidR="00E52E45" w:rsidRPr="00D92310">
              <w:t>анализ</w:t>
            </w:r>
            <w:r w:rsidR="00E52E45">
              <w:t>а</w:t>
            </w:r>
            <w:r w:rsidR="00E52E45" w:rsidRPr="00D92310">
              <w:t xml:space="preserve"> </w:t>
            </w:r>
            <w:r w:rsidRPr="00D92310">
              <w:t>ефеката новог закона и објављена је на интернет страници Министарства за рад, запошљавање, борачка и социјална питања.</w:t>
            </w:r>
            <w:r w:rsidR="00D0332A" w:rsidRPr="00D92310">
              <w:t xml:space="preserve"> </w:t>
            </w:r>
          </w:p>
        </w:tc>
      </w:tr>
      <w:tr w:rsidR="00C91AE0" w:rsidRPr="00F41CE2" w14:paraId="6924CD92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F7223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Повећан број лиценцираних ОЦД као пружалаца услуга социјалне заштите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252A963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D0715F" w14:textId="77777777" w:rsidR="00BB791A" w:rsidRPr="00F41CE2" w:rsidRDefault="00243143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9A43B8" w14:textId="31697242" w:rsidR="00BB791A" w:rsidRPr="00D92310" w:rsidRDefault="00E52E45" w:rsidP="00E52E45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t xml:space="preserve"> Министарство за рад, запошљавање, борачка и социјална питања</w:t>
            </w:r>
            <w:r w:rsidR="003330E1" w:rsidRPr="00D92310">
              <w:rPr>
                <w:rFonts w:eastAsia="Times New Roman"/>
                <w:kern w:val="0"/>
                <w:lang w:val="sr-Cyrl-RS" w:eastAsia="sr-Cyrl-RS"/>
              </w:rPr>
              <w:t xml:space="preserve">  у периоду прикупљања података није  </w:t>
            </w:r>
            <w:r w:rsidR="00243143" w:rsidRPr="00D92310">
              <w:rPr>
                <w:rFonts w:eastAsia="Times New Roman"/>
                <w:kern w:val="0"/>
                <w:lang w:val="sr-Cyrl-RS" w:eastAsia="sr-Cyrl-RS"/>
              </w:rPr>
              <w:t>распола</w:t>
            </w:r>
            <w:r w:rsidR="003330E1" w:rsidRPr="00D92310">
              <w:rPr>
                <w:rFonts w:eastAsia="Times New Roman"/>
                <w:kern w:val="0"/>
                <w:lang w:val="sr-Cyrl-RS" w:eastAsia="sr-Cyrl-RS"/>
              </w:rPr>
              <w:t xml:space="preserve">гало </w:t>
            </w:r>
            <w:r w:rsidR="00243143" w:rsidRPr="00D92310">
              <w:rPr>
                <w:rFonts w:eastAsia="Times New Roman"/>
                <w:kern w:val="0"/>
                <w:lang w:val="sr-Cyrl-RS" w:eastAsia="sr-Cyrl-RS"/>
              </w:rPr>
              <w:t xml:space="preserve"> подацима за 202</w:t>
            </w:r>
            <w:r w:rsidR="003330E1" w:rsidRPr="00D92310">
              <w:rPr>
                <w:rFonts w:eastAsia="Times New Roman"/>
                <w:kern w:val="0"/>
                <w:lang w:val="sr-Cyrl-RS" w:eastAsia="sr-Cyrl-RS"/>
              </w:rPr>
              <w:t>5</w:t>
            </w:r>
            <w:r w:rsidR="00243143" w:rsidRPr="00D92310">
              <w:rPr>
                <w:rFonts w:eastAsia="Times New Roman"/>
                <w:kern w:val="0"/>
                <w:lang w:val="sr-Cyrl-RS" w:eastAsia="sr-Cyrl-RS"/>
              </w:rPr>
              <w:t xml:space="preserve">. годину. </w:t>
            </w:r>
            <w:r w:rsidR="00E0483D" w:rsidRPr="00D92310">
              <w:rPr>
                <w:rFonts w:eastAsia="Times New Roman"/>
                <w:kern w:val="0"/>
                <w:lang w:val="sr-Cyrl-RS" w:eastAsia="sr-Cyrl-RS"/>
              </w:rPr>
              <w:t>Тренутно није могуће измерити напредак.</w:t>
            </w:r>
          </w:p>
        </w:tc>
      </w:tr>
      <w:tr w:rsidR="00C91AE0" w:rsidRPr="00F41CE2" w14:paraId="7F66F90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F5140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Повећан број корисника услуга у заједници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4F0CDDB7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28.515</w:t>
            </w:r>
          </w:p>
        </w:tc>
        <w:tc>
          <w:tcPr>
            <w:tcW w:w="0" w:type="auto"/>
            <w:vAlign w:val="center"/>
            <w:hideMark/>
          </w:tcPr>
          <w:p w14:paraId="3BA28AAD" w14:textId="77777777" w:rsidR="00BB791A" w:rsidRPr="00F41CE2" w:rsidRDefault="00243143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AED67A" w14:textId="35512E7C" w:rsidR="00BB791A" w:rsidRPr="00E32DF8" w:rsidRDefault="00E52E45" w:rsidP="003330E1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highlight w:val="yellow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t>Министарство за рад, запошљавање, борачка и социјална питања</w:t>
            </w:r>
            <w:r w:rsidR="003330E1" w:rsidRPr="00D92310">
              <w:rPr>
                <w:rFonts w:eastAsia="Times New Roman"/>
                <w:kern w:val="0"/>
                <w:lang w:val="sr-Cyrl-RS" w:eastAsia="sr-Cyrl-RS"/>
              </w:rPr>
              <w:t xml:space="preserve">  у периоду прикупљања података није  располагало  са подацима за 2025. годину.</w:t>
            </w:r>
            <w:r w:rsidR="00E0483D" w:rsidRPr="00D92310">
              <w:rPr>
                <w:rFonts w:eastAsia="Times New Roman"/>
                <w:kern w:val="0"/>
                <w:lang w:val="sr-Cyrl-RS" w:eastAsia="sr-Cyrl-RS"/>
              </w:rPr>
              <w:t xml:space="preserve"> Тренутно није могуће измерити напредак</w:t>
            </w:r>
          </w:p>
        </w:tc>
      </w:tr>
      <w:tr w:rsidR="00C91AE0" w:rsidRPr="00F41CE2" w14:paraId="0C4CFC4F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CABA2" w14:textId="77777777" w:rsidR="00BB791A" w:rsidRPr="00F41CE2" w:rsidRDefault="00C91AE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3.2: Унапређење свеукупног нормативног оквира од значаја за филантропију, укључујући пореске прописе,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>транспарентност и видљивост филантропских активности</w:t>
            </w:r>
          </w:p>
        </w:tc>
        <w:tc>
          <w:tcPr>
            <w:tcW w:w="0" w:type="auto"/>
            <w:vAlign w:val="center"/>
            <w:hideMark/>
          </w:tcPr>
          <w:p w14:paraId="600125EA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2718677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6E45F175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C91AE0" w:rsidRPr="00F41CE2" w14:paraId="34FE9C6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81E45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Јавно доступни систематски подаци о ефектима филантропских активности</w:t>
            </w:r>
          </w:p>
        </w:tc>
        <w:tc>
          <w:tcPr>
            <w:tcW w:w="0" w:type="auto"/>
            <w:vAlign w:val="center"/>
            <w:hideMark/>
          </w:tcPr>
          <w:p w14:paraId="1B2E000E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EC4DB66" w14:textId="77777777" w:rsidR="00BB791A" w:rsidRPr="00F41CE2" w:rsidRDefault="00243143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121B3E0" w14:textId="77777777" w:rsidR="00BB791A" w:rsidRPr="00642B10" w:rsidRDefault="00E0483D" w:rsidP="00E0483D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A11FCC">
              <w:t xml:space="preserve">У извештајном </w:t>
            </w:r>
            <w:r>
              <w:rPr>
                <w:lang w:val="sr-Cyrl-RS"/>
              </w:rPr>
              <w:t>периоду</w:t>
            </w:r>
            <w:r w:rsidRPr="00A11FCC">
              <w:t xml:space="preserve"> податак није био доступан.</w:t>
            </w:r>
            <w:r w:rsidR="00642B10">
              <w:rPr>
                <w:lang w:val="sr-Cyrl-RS"/>
              </w:rPr>
              <w:t>Тренутно није могуће измерити напредак.</w:t>
            </w:r>
          </w:p>
        </w:tc>
      </w:tr>
      <w:tr w:rsidR="00C91AE0" w:rsidRPr="00F41CE2" w14:paraId="2754E8FD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2D0FE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Филантропске активности од стране различитих група дародаваца,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1AD8753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4.558</w:t>
            </w:r>
          </w:p>
        </w:tc>
        <w:tc>
          <w:tcPr>
            <w:tcW w:w="0" w:type="auto"/>
            <w:vAlign w:val="center"/>
            <w:hideMark/>
          </w:tcPr>
          <w:p w14:paraId="7D16A49C" w14:textId="77777777" w:rsidR="00BB791A" w:rsidRPr="00F41CE2" w:rsidRDefault="00243143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B5F3C0" w14:textId="77777777" w:rsidR="00BB791A" w:rsidRPr="00F41CE2" w:rsidRDefault="00642B1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A11FCC">
              <w:t xml:space="preserve">У извештајном </w:t>
            </w:r>
            <w:r>
              <w:rPr>
                <w:lang w:val="sr-Cyrl-RS"/>
              </w:rPr>
              <w:t>периоду</w:t>
            </w:r>
            <w:r w:rsidRPr="00A11FCC">
              <w:t xml:space="preserve"> податак није био доступан.</w:t>
            </w:r>
            <w:r>
              <w:rPr>
                <w:lang w:val="sr-Cyrl-RS"/>
              </w:rPr>
              <w:t>Тренутно није могуће измерити напредак.</w:t>
            </w:r>
          </w:p>
        </w:tc>
      </w:tr>
      <w:tr w:rsidR="00C91AE0" w:rsidRPr="00F41CE2" w14:paraId="2CFD19B2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AFC63" w14:textId="77777777" w:rsidR="00BB791A" w:rsidRPr="00F41CE2" w:rsidRDefault="00C91AE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3.3: Дефинисање свеобухватног нормативног оквира који уређује социјално (солидарно) предузетништво, којим се обезбеђује диверзитет финансирања ОЦД и коришћење потенцијала друштвено одговорног пословања</w:t>
            </w:r>
          </w:p>
        </w:tc>
        <w:tc>
          <w:tcPr>
            <w:tcW w:w="0" w:type="auto"/>
            <w:vAlign w:val="center"/>
            <w:hideMark/>
          </w:tcPr>
          <w:p w14:paraId="2C3150E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AFABB1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FE91CA6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C91AE0" w:rsidRPr="00F41CE2" w14:paraId="28E75609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F923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Усвојени акти који уређују социјално предузетништво и узима у обзир искуства субјеката социјалног предузетништва</w:t>
            </w:r>
          </w:p>
        </w:tc>
        <w:tc>
          <w:tcPr>
            <w:tcW w:w="0" w:type="auto"/>
            <w:vAlign w:val="center"/>
            <w:hideMark/>
          </w:tcPr>
          <w:p w14:paraId="2A29059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C797B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E1433FA" w14:textId="77777777" w:rsidR="00BB791A" w:rsidRPr="00290E94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281AD843" w14:textId="06712317" w:rsidR="00642B10" w:rsidRPr="00F41CE2" w:rsidRDefault="00642B10" w:rsidP="00F53328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42B10">
              <w:rPr>
                <w:rFonts w:eastAsia="Times New Roman"/>
                <w:kern w:val="0"/>
                <w:lang w:val="sr-Cyrl-RS" w:eastAsia="sr-Cyrl-RS"/>
              </w:rPr>
              <w:t>Влада Републике Србије, на основу члана 18. став 5. Закона о социјалном пре</w:t>
            </w:r>
            <w:r w:rsidR="00F911EC">
              <w:rPr>
                <w:rFonts w:eastAsia="Times New Roman"/>
                <w:kern w:val="0"/>
                <w:lang w:val="sr-Cyrl-RS" w:eastAsia="sr-Cyrl-RS"/>
              </w:rPr>
              <w:t>д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t xml:space="preserve">узетништву („Службени гласник РС”, број 14/22), донела је Уредбу о условима, критеријумима и поступку за остваривање права на доделу средстава за подстицање развоја социјалног предузетништва („Службени гласник РС”, број 18/24), којом су 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lastRenderedPageBreak/>
              <w:t xml:space="preserve">ближе уређена поједина питања од значаја за подстицање развоја социјалног предузетништва из средстава која се обезбезбеђују из буџета. </w:t>
            </w:r>
            <w:r w:rsidR="00496933">
              <w:rPr>
                <w:rFonts w:eastAsia="Times New Roman"/>
                <w:kern w:val="0"/>
                <w:lang w:val="sr-Cyrl-RS" w:eastAsia="sr-Cyrl-RS"/>
              </w:rPr>
              <w:t>Н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t>акон потребних анализа и спроведених интерних процедура између Министарства за рад, запошљавање, борачка и социјална питања</w:t>
            </w:r>
            <w:r w:rsidR="00415CE1">
              <w:rPr>
                <w:rFonts w:eastAsia="Times New Roman"/>
                <w:kern w:val="0"/>
                <w:lang w:val="sr-Cyrl-RS" w:eastAsia="sr-Cyrl-RS"/>
              </w:rPr>
              <w:t>,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t xml:space="preserve"> Министарства привреде и Министарства (према Закону о планском </w:t>
            </w:r>
            <w:r w:rsidR="004470CC">
              <w:rPr>
                <w:rFonts w:eastAsia="Times New Roman"/>
                <w:kern w:val="0"/>
                <w:lang w:val="sr-Cyrl-RS" w:eastAsia="sr-Cyrl-RS"/>
              </w:rPr>
              <w:t>систему Републике Србије), може се сагледати целокупна</w:t>
            </w:r>
            <w:r w:rsidRPr="00642B10">
              <w:rPr>
                <w:rFonts w:eastAsia="Times New Roman"/>
                <w:kern w:val="0"/>
                <w:lang w:val="sr-Cyrl-RS" w:eastAsia="sr-Cyrl-RS"/>
              </w:rPr>
              <w:t xml:space="preserve"> област и бити у позицији да се дефинише даљи правац унапређења области социјалног предузетништва.</w:t>
            </w:r>
          </w:p>
        </w:tc>
      </w:tr>
      <w:tr w:rsidR="00C91AE0" w:rsidRPr="00F41CE2" w14:paraId="47C0A55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C6CFD" w14:textId="77777777" w:rsidR="00BB791A" w:rsidRPr="00F41CE2" w:rsidRDefault="00C91AE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3.4: Унапређење нормативног оквира којим се уређује волонтирање у складу са међународним стандардима, укључујући секторске прописе</w:t>
            </w:r>
          </w:p>
        </w:tc>
        <w:tc>
          <w:tcPr>
            <w:tcW w:w="0" w:type="auto"/>
            <w:vAlign w:val="center"/>
            <w:hideMark/>
          </w:tcPr>
          <w:p w14:paraId="1C4DF7F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62E47DE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688815FE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C91AE0" w:rsidRPr="00F41CE2" w14:paraId="175143DA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3BBF1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Повећан проценат волонтера из популације младих у Републици Србији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729DF55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0DB422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15,3</w:t>
            </w:r>
          </w:p>
        </w:tc>
        <w:tc>
          <w:tcPr>
            <w:tcW w:w="0" w:type="auto"/>
            <w:vAlign w:val="center"/>
            <w:hideMark/>
          </w:tcPr>
          <w:p w14:paraId="6684FFAB" w14:textId="3D5BED3E" w:rsidR="00290E94" w:rsidRPr="00290E94" w:rsidRDefault="00290E94" w:rsidP="00F53328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kern w:val="0"/>
                <w:lang w:val="sr-Cyrl-RS" w:eastAsia="sr-Cyrl-RS"/>
              </w:rPr>
              <w:t xml:space="preserve">Извештај 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t>М</w:t>
            </w:r>
            <w:r w:rsidR="00F53328" w:rsidRPr="00290E94">
              <w:rPr>
                <w:rFonts w:eastAsia="Times New Roman"/>
                <w:kern w:val="0"/>
                <w:lang w:val="sr-Cyrl-RS" w:eastAsia="sr-Cyrl-RS"/>
              </w:rPr>
              <w:t xml:space="preserve">инистарства </w:t>
            </w:r>
            <w:r w:rsidRPr="00290E94">
              <w:rPr>
                <w:rFonts w:eastAsia="Times New Roman"/>
                <w:kern w:val="0"/>
                <w:lang w:val="sr-Cyrl-RS" w:eastAsia="sr-Cyrl-RS"/>
              </w:rPr>
              <w:t>туризма и омладине наводи да је повећан проценат за 15,3%</w:t>
            </w:r>
            <w:r w:rsidR="00415CE1">
              <w:rPr>
                <w:rFonts w:eastAsia="Times New Roman"/>
                <w:kern w:val="0"/>
                <w:lang w:val="sr-Cyrl-RS" w:eastAsia="sr-Cyrl-RS"/>
              </w:rPr>
              <w:t>.</w:t>
            </w:r>
          </w:p>
        </w:tc>
      </w:tr>
      <w:tr w:rsidR="00C91AE0" w:rsidRPr="00F41CE2" w14:paraId="713E1CA7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4B7EC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Износ подстицајних мера и програма којима се промовише/подржава волонтирање код младих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01309548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10.000.000</w:t>
            </w:r>
          </w:p>
        </w:tc>
        <w:tc>
          <w:tcPr>
            <w:tcW w:w="0" w:type="auto"/>
            <w:vAlign w:val="center"/>
            <w:hideMark/>
          </w:tcPr>
          <w:p w14:paraId="3FDB95A4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10.700.000</w:t>
            </w:r>
          </w:p>
        </w:tc>
        <w:tc>
          <w:tcPr>
            <w:tcW w:w="0" w:type="auto"/>
            <w:vAlign w:val="center"/>
            <w:hideMark/>
          </w:tcPr>
          <w:p w14:paraId="652D7AD9" w14:textId="77777777" w:rsidR="009F6846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66088E0B" w14:textId="4050404D" w:rsidR="00BB791A" w:rsidRPr="009F6846" w:rsidRDefault="009F6846" w:rsidP="009F6846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9F6846">
              <w:rPr>
                <w:rFonts w:eastAsia="Times New Roman"/>
                <w:kern w:val="0"/>
                <w:lang w:val="sr-Cyrl-RS" w:eastAsia="sr-Cyrl-RS"/>
              </w:rPr>
              <w:t>Подаци о</w:t>
            </w:r>
            <w:r>
              <w:rPr>
                <w:rFonts w:eastAsia="Times New Roman"/>
                <w:b/>
                <w:kern w:val="0"/>
                <w:lang w:val="sr-Cyrl-RS" w:eastAsia="sr-Cyrl-RS"/>
              </w:rPr>
              <w:t xml:space="preserve"> </w:t>
            </w:r>
            <w:r>
              <w:rPr>
                <w:rFonts w:eastAsia="Times New Roman"/>
                <w:kern w:val="0"/>
                <w:lang w:val="sr-Cyrl-RS" w:eastAsia="sr-Cyrl-RS"/>
              </w:rPr>
              <w:t>из</w:t>
            </w:r>
            <w:r w:rsidRPr="00F41CE2">
              <w:rPr>
                <w:rFonts w:eastAsia="Times New Roman"/>
                <w:kern w:val="0"/>
                <w:lang w:val="sr-Cyrl-RS" w:eastAsia="sr-Cyrl-RS"/>
              </w:rPr>
              <w:t>нос</w:t>
            </w:r>
            <w:r>
              <w:rPr>
                <w:rFonts w:eastAsia="Times New Roman"/>
                <w:kern w:val="0"/>
                <w:lang w:val="sr-Cyrl-RS" w:eastAsia="sr-Cyrl-RS"/>
              </w:rPr>
              <w:t>у</w:t>
            </w:r>
            <w:r w:rsidRPr="00F41CE2">
              <w:rPr>
                <w:rFonts w:eastAsia="Times New Roman"/>
                <w:kern w:val="0"/>
                <w:lang w:val="sr-Cyrl-RS" w:eastAsia="sr-Cyrl-RS"/>
              </w:rPr>
              <w:t xml:space="preserve"> подстицајних мера и програма којима се промовише/подржава волонтирање код младих </w:t>
            </w:r>
            <w:r w:rsidRPr="00B91071">
              <w:t>Министарство туризма и омладине</w:t>
            </w:r>
            <w:r>
              <w:rPr>
                <w:lang w:val="sr-Cyrl-RS"/>
              </w:rPr>
              <w:t>.</w:t>
            </w:r>
          </w:p>
        </w:tc>
      </w:tr>
      <w:tr w:rsidR="00C91AE0" w:rsidRPr="00F41CE2" w14:paraId="273FD6B4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E18A4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>Мера</w:t>
            </w:r>
            <w:r w:rsidR="00C91AE0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 </w:t>
            </w: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3.5: Унапређење улоге ОЦД у неформалном образовању у складу са стратешким документима и уз обухват образовања о људским правима</w:t>
            </w:r>
          </w:p>
        </w:tc>
        <w:tc>
          <w:tcPr>
            <w:tcW w:w="0" w:type="auto"/>
            <w:vAlign w:val="center"/>
            <w:hideMark/>
          </w:tcPr>
          <w:p w14:paraId="4164540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40F83B2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0E0314C1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C91AE0" w:rsidRPr="00F41CE2" w14:paraId="019197F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C7FC5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Унапређени услови за неформално образовање у складу са стратешким оквиром у области образовања</w:t>
            </w:r>
          </w:p>
        </w:tc>
        <w:tc>
          <w:tcPr>
            <w:tcW w:w="0" w:type="auto"/>
            <w:vAlign w:val="center"/>
            <w:hideMark/>
          </w:tcPr>
          <w:p w14:paraId="7B5E943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69C2A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311482" w14:textId="77777777" w:rsidR="00BB791A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525E2A82" w14:textId="1F56902B" w:rsidR="00290E94" w:rsidRPr="00290E94" w:rsidRDefault="00290E94" w:rsidP="00F53328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kern w:val="0"/>
                <w:lang w:val="sr-Cyrl-RS" w:eastAsia="sr-Cyrl-RS"/>
              </w:rPr>
            </w:pPr>
            <w:r>
              <w:t xml:space="preserve">Напредак у области образовања одраслих остварен је кроз унапређење </w:t>
            </w:r>
            <w:r w:rsidR="00E32DF8">
              <w:rPr>
                <w:lang w:val="sr-Cyrl-RS"/>
              </w:rPr>
              <w:t xml:space="preserve">стандарда квалитета рада </w:t>
            </w:r>
            <w:r w:rsidR="00F53328">
              <w:rPr>
                <w:lang w:val="sr-Cyrl-RS"/>
              </w:rPr>
              <w:t>јавно признатих организатора активности</w:t>
            </w:r>
            <w:r w:rsidR="00F53328">
              <w:t xml:space="preserve"> </w:t>
            </w:r>
            <w:r>
              <w:t xml:space="preserve">и институционалног оквира, као и кроз јачање система осигурања квалитета рада јавно признатих организатора активности образовања одраслих. Усвајањем Годишњег плана образовања одраслих за 2025. годину дефинисана је реализација програма стицања компетенција и квалификација запослених и незапослених лица, укључујући могућност стицања квалификација неформалним путем. У извештајном периоду пружана је континуирана стручна и саветодавна подршка провајдерима у поступку стицања статуса ЈПОА, а припремљен је и предлог унапређених стандарда за самовредновање и спољашње вредновање квалитета њиховог рада. Додатно, унапређен је и Подрегистр ЈПОА, чиме је повећана поузданост података и ојачана аналитичка основа за </w:t>
            </w:r>
            <w:r>
              <w:lastRenderedPageBreak/>
              <w:t>праћење и даље унапређивање система образовања одраслих.</w:t>
            </w:r>
          </w:p>
        </w:tc>
      </w:tr>
      <w:tr w:rsidR="00C91AE0" w:rsidRPr="00F41CE2" w14:paraId="633289C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FB74C" w14:textId="073F2A89" w:rsidR="00BB791A" w:rsidRPr="00F41CE2" w:rsidRDefault="00F53328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lastRenderedPageBreak/>
              <w:t>јав</w:t>
            </w:r>
            <w:r w:rsidR="00BB791A" w:rsidRPr="00F41CE2">
              <w:rPr>
                <w:rFonts w:eastAsia="Times New Roman"/>
                <w:kern w:val="0"/>
                <w:lang w:val="sr-Cyrl-RS" w:eastAsia="sr-Cyrl-RS"/>
              </w:rPr>
              <w:t>Повећан број акредитованих програма неформалног образовања које спроводи ОЦД унетих у Регистар НОКС – Подрегистар ЈПОА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43A7ACE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A144D5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FDA5F38" w14:textId="77777777" w:rsidR="00BB791A" w:rsidRPr="00290E94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0783B7E5" w14:textId="77777777" w:rsidR="00642B10" w:rsidRPr="00F41CE2" w:rsidRDefault="00642B1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42B10">
              <w:rPr>
                <w:rFonts w:eastAsia="Times New Roman"/>
                <w:kern w:val="0"/>
                <w:lang w:val="sr-Cyrl-RS" w:eastAsia="sr-Cyrl-RS"/>
              </w:rPr>
              <w:t>Увидом у Подрегистар ЈПОА евидентирано је укупно 22 провајдера (организација цивилног друштва) који спроводе акредитоване програме обука. У 2025. години није повећан број акредитованих програма неформалног образовања које спроводи ОЦД .</w:t>
            </w:r>
          </w:p>
        </w:tc>
      </w:tr>
      <w:tr w:rsidR="00C91AE0" w:rsidRPr="00F41CE2" w14:paraId="6344C4CB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CA356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Повећан број ОЦД са акредитованим програмима који обуку спроводе код послодаваца укључених у дуално образовање,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3F72E06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5169D5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9DE91E" w14:textId="77777777" w:rsidR="00BB791A" w:rsidRPr="00290E94" w:rsidRDefault="00BB791A" w:rsidP="00290E9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290E94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280502AF" w14:textId="77777777" w:rsidR="00642B10" w:rsidRPr="00F41CE2" w:rsidRDefault="00642B1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42B10">
              <w:rPr>
                <w:rFonts w:eastAsia="Times New Roman"/>
                <w:kern w:val="0"/>
                <w:lang w:val="sr-Cyrl-RS" w:eastAsia="sr-Cyrl-RS"/>
              </w:rPr>
              <w:t>Увидом у Подрегистар ЈПОА евидентирано је укупно 22 провајдера (организација цивилног друштва) који спроводе акредитоване програме обука међу којима нису евидентирани акредитовани програми који обуку спроводе код послодаваца укључених у дуално образовање .</w:t>
            </w:r>
          </w:p>
        </w:tc>
      </w:tr>
    </w:tbl>
    <w:p w14:paraId="603E9C0D" w14:textId="0EA20AE0" w:rsidR="003B4259" w:rsidRPr="003B4259" w:rsidRDefault="003B4259" w:rsidP="00E66123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3B4259">
        <w:rPr>
          <w:rFonts w:eastAsia="Times New Roman"/>
          <w:kern w:val="0"/>
          <w:lang w:val="sr-Cyrl-RS" w:eastAsia="sr-Cyrl-RS"/>
        </w:rPr>
        <w:t xml:space="preserve">У 2025. години оствареност Посебног циља 3 је делимична. Видљив напредак постигнут је у </w:t>
      </w:r>
      <w:r w:rsidR="00D92310">
        <w:rPr>
          <w:rFonts w:eastAsia="Times New Roman"/>
          <w:kern w:val="0"/>
          <w:lang w:val="sr-Cyrl-RS" w:eastAsia="sr-Cyrl-RS"/>
        </w:rPr>
        <w:t>области волонтирања и то кроз учешће</w:t>
      </w:r>
      <w:r w:rsidRPr="003B4259">
        <w:rPr>
          <w:rFonts w:eastAsia="Times New Roman"/>
          <w:kern w:val="0"/>
          <w:lang w:val="sr-Cyrl-RS" w:eastAsia="sr-Cyrl-RS"/>
        </w:rPr>
        <w:t xml:space="preserve"> младих у волонтерским активностима и </w:t>
      </w:r>
      <w:r w:rsidR="00F53328">
        <w:rPr>
          <w:rFonts w:eastAsia="Times New Roman"/>
          <w:kern w:val="0"/>
          <w:lang w:val="sr-Cyrl-RS" w:eastAsia="sr-Cyrl-RS"/>
        </w:rPr>
        <w:t xml:space="preserve">већем износу </w:t>
      </w:r>
      <w:r w:rsidR="00D92310">
        <w:rPr>
          <w:rFonts w:eastAsia="Times New Roman"/>
          <w:kern w:val="0"/>
          <w:lang w:val="sr-Cyrl-RS" w:eastAsia="sr-Cyrl-RS"/>
        </w:rPr>
        <w:t>средстава з</w:t>
      </w:r>
      <w:r w:rsidR="00741D59">
        <w:rPr>
          <w:rFonts w:eastAsia="Times New Roman"/>
          <w:kern w:val="0"/>
          <w:lang w:val="sr-Cyrl-RS" w:eastAsia="sr-Cyrl-RS"/>
        </w:rPr>
        <w:t>а</w:t>
      </w:r>
      <w:r w:rsidR="00D92310">
        <w:rPr>
          <w:rFonts w:eastAsia="Times New Roman"/>
          <w:kern w:val="0"/>
          <w:lang w:val="sr-Cyrl-RS" w:eastAsia="sr-Cyrl-RS"/>
        </w:rPr>
        <w:t xml:space="preserve"> </w:t>
      </w:r>
      <w:r w:rsidR="00741D59">
        <w:rPr>
          <w:rFonts w:eastAsia="Times New Roman"/>
          <w:kern w:val="0"/>
          <w:lang w:val="sr-Cyrl-RS" w:eastAsia="sr-Cyrl-RS"/>
        </w:rPr>
        <w:t>реализацију</w:t>
      </w:r>
      <w:r w:rsidRPr="003B4259">
        <w:rPr>
          <w:rFonts w:eastAsia="Times New Roman"/>
          <w:kern w:val="0"/>
          <w:lang w:val="sr-Cyrl-RS" w:eastAsia="sr-Cyrl-RS"/>
        </w:rPr>
        <w:t xml:space="preserve"> подстицајних мера</w:t>
      </w:r>
      <w:r w:rsidR="00741D59">
        <w:rPr>
          <w:rFonts w:eastAsia="Times New Roman"/>
          <w:kern w:val="0"/>
          <w:lang w:val="sr-Cyrl-RS" w:eastAsia="sr-Cyrl-RS"/>
        </w:rPr>
        <w:t xml:space="preserve"> </w:t>
      </w:r>
      <w:r w:rsidR="00741D59" w:rsidRPr="00F41CE2">
        <w:rPr>
          <w:rFonts w:eastAsia="Times New Roman"/>
          <w:kern w:val="0"/>
          <w:lang w:val="sr-Cyrl-RS" w:eastAsia="sr-Cyrl-RS"/>
        </w:rPr>
        <w:t>и програма којима се промовише/подржава волонтирање код младих</w:t>
      </w:r>
      <w:r w:rsidR="00F53328">
        <w:rPr>
          <w:rFonts w:eastAsia="Times New Roman"/>
          <w:kern w:val="0"/>
          <w:lang w:val="sr-Cyrl-RS" w:eastAsia="sr-Cyrl-RS"/>
        </w:rPr>
        <w:t>,</w:t>
      </w:r>
      <w:r w:rsidR="00741D59">
        <w:rPr>
          <w:rFonts w:eastAsia="Times New Roman"/>
          <w:kern w:val="0"/>
          <w:lang w:val="sr-Cyrl-RS" w:eastAsia="sr-Cyrl-RS"/>
        </w:rPr>
        <w:t xml:space="preserve"> као и услова </w:t>
      </w:r>
      <w:r w:rsidR="00741D59" w:rsidRPr="00F41CE2">
        <w:rPr>
          <w:rFonts w:eastAsia="Times New Roman"/>
          <w:kern w:val="0"/>
          <w:lang w:val="sr-Cyrl-RS" w:eastAsia="sr-Cyrl-RS"/>
        </w:rPr>
        <w:t>за неформално образовање у складу са стратешким оквиром у области образовања</w:t>
      </w:r>
      <w:r w:rsidR="00741D59">
        <w:rPr>
          <w:rFonts w:eastAsia="Times New Roman"/>
          <w:kern w:val="0"/>
          <w:lang w:val="sr-Cyrl-RS" w:eastAsia="sr-Cyrl-RS"/>
        </w:rPr>
        <w:t>.</w:t>
      </w:r>
    </w:p>
    <w:p w14:paraId="5CF585AC" w14:textId="77777777" w:rsidR="003B4259" w:rsidRPr="003B4259" w:rsidRDefault="003B4259" w:rsidP="00E66123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3B4259">
        <w:rPr>
          <w:rFonts w:eastAsia="Times New Roman"/>
          <w:kern w:val="0"/>
          <w:lang w:val="sr-Cyrl-RS" w:eastAsia="sr-Cyrl-RS"/>
        </w:rPr>
        <w:t>У области филантропије и социјалног предузетништва напредак није могуће поуздано мерити због непотпуних или недоступних података.</w:t>
      </w:r>
    </w:p>
    <w:p w14:paraId="5216075A" w14:textId="123E6CB4" w:rsidR="003B4259" w:rsidRPr="003B4259" w:rsidRDefault="003B4259" w:rsidP="00E66123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val="sr-Cyrl-RS" w:eastAsia="sr-Cyrl-RS"/>
        </w:rPr>
      </w:pPr>
      <w:r w:rsidRPr="003B4259">
        <w:rPr>
          <w:rFonts w:eastAsia="Times New Roman"/>
          <w:kern w:val="0"/>
          <w:lang w:val="sr-Cyrl-RS" w:eastAsia="sr-Cyrl-RS"/>
        </w:rPr>
        <w:t xml:space="preserve">Није остварен напредак у унапређењу нормативног и стратешког оквира за улогу ОЦД у социо-економском развоју, социјалној заштити и акредитованим програмима </w:t>
      </w:r>
      <w:r w:rsidRPr="003B4259">
        <w:rPr>
          <w:rFonts w:eastAsia="Times New Roman"/>
          <w:kern w:val="0"/>
          <w:lang w:val="sr-Cyrl-RS" w:eastAsia="sr-Cyrl-RS"/>
        </w:rPr>
        <w:lastRenderedPageBreak/>
        <w:t xml:space="preserve">неформалног образовања. </w:t>
      </w:r>
      <w:r w:rsidR="0081748D">
        <w:rPr>
          <w:rFonts w:eastAsia="Times New Roman"/>
          <w:kern w:val="0"/>
          <w:lang w:val="sr-Cyrl-RS" w:eastAsia="sr-Cyrl-RS"/>
        </w:rPr>
        <w:t>Повећање б</w:t>
      </w:r>
      <w:r w:rsidRPr="003B4259">
        <w:rPr>
          <w:rFonts w:eastAsia="Times New Roman"/>
          <w:kern w:val="0"/>
          <w:lang w:val="sr-Cyrl-RS" w:eastAsia="sr-Cyrl-RS"/>
        </w:rPr>
        <w:t>рој</w:t>
      </w:r>
      <w:r w:rsidR="0081748D">
        <w:rPr>
          <w:rFonts w:eastAsia="Times New Roman"/>
          <w:kern w:val="0"/>
          <w:lang w:val="sr-Cyrl-RS" w:eastAsia="sr-Cyrl-RS"/>
        </w:rPr>
        <w:t>а</w:t>
      </w:r>
      <w:r w:rsidRPr="003B4259">
        <w:rPr>
          <w:rFonts w:eastAsia="Times New Roman"/>
          <w:kern w:val="0"/>
          <w:lang w:val="sr-Cyrl-RS" w:eastAsia="sr-Cyrl-RS"/>
        </w:rPr>
        <w:t xml:space="preserve"> лиценцираних ОЦД и број корисника услуга у заједници за 2025. годину није могуће измерити</w:t>
      </w:r>
      <w:r w:rsidR="0081748D">
        <w:rPr>
          <w:rFonts w:eastAsia="Times New Roman"/>
          <w:kern w:val="0"/>
          <w:lang w:val="sr-Cyrl-RS" w:eastAsia="sr-Cyrl-RS"/>
        </w:rPr>
        <w:t xml:space="preserve"> обзиром да подаци нису доступни</w:t>
      </w:r>
      <w:r w:rsidRPr="003B4259">
        <w:rPr>
          <w:rFonts w:eastAsia="Times New Roman"/>
          <w:kern w:val="0"/>
          <w:lang w:val="sr-Cyrl-RS" w:eastAsia="sr-Cyrl-RS"/>
        </w:rPr>
        <w:t>.</w:t>
      </w:r>
    </w:p>
    <w:p w14:paraId="3224E8CE" w14:textId="4EC0EE66" w:rsidR="00E66123" w:rsidRDefault="00E66123" w:rsidP="00F41CE2">
      <w:pPr>
        <w:widowControl/>
        <w:suppressAutoHyphens w:val="0"/>
        <w:spacing w:after="240" w:line="276" w:lineRule="auto"/>
        <w:jc w:val="both"/>
        <w:rPr>
          <w:rFonts w:eastAsia="Times New Roman"/>
          <w:b/>
          <w:kern w:val="0"/>
          <w:lang w:val="sr-Cyrl-RS" w:eastAsia="sr-Cyrl-RS"/>
        </w:rPr>
      </w:pPr>
      <w:r>
        <w:t xml:space="preserve">Закључно, напредак у 2025. </w:t>
      </w:r>
      <w:proofErr w:type="gramStart"/>
      <w:r>
        <w:t>години</w:t>
      </w:r>
      <w:proofErr w:type="gramEnd"/>
      <w:r>
        <w:t xml:space="preserve"> је делимичан и ограничава се на </w:t>
      </w:r>
      <w:r w:rsidR="00741D59">
        <w:rPr>
          <w:lang w:val="sr-Cyrl-RS"/>
        </w:rPr>
        <w:t>област</w:t>
      </w:r>
      <w:r>
        <w:t xml:space="preserve"> волонтирања, док</w:t>
      </w:r>
      <w:r w:rsidR="00741D59">
        <w:rPr>
          <w:lang w:val="sr-Cyrl-RS"/>
        </w:rPr>
        <w:t xml:space="preserve"> унапређење</w:t>
      </w:r>
      <w:r>
        <w:t xml:space="preserve"> нормативно</w:t>
      </w:r>
      <w:r w:rsidR="00741D59">
        <w:rPr>
          <w:lang w:val="sr-Cyrl-RS"/>
        </w:rPr>
        <w:t xml:space="preserve">г оквира </w:t>
      </w:r>
      <w:r>
        <w:t xml:space="preserve"> </w:t>
      </w:r>
      <w:r w:rsidR="00741D59">
        <w:rPr>
          <w:lang w:val="sr-Cyrl-RS"/>
        </w:rPr>
        <w:t xml:space="preserve">у области </w:t>
      </w:r>
      <w:r>
        <w:t>филантропиј</w:t>
      </w:r>
      <w:r w:rsidR="00741D59">
        <w:rPr>
          <w:lang w:val="sr-Cyrl-RS"/>
        </w:rPr>
        <w:t xml:space="preserve">е и </w:t>
      </w:r>
      <w:r>
        <w:t xml:space="preserve"> социјално предузетништво захтевају додатне </w:t>
      </w:r>
      <w:r w:rsidR="00496933">
        <w:rPr>
          <w:lang w:val="sr-Cyrl-RS"/>
        </w:rPr>
        <w:t>напоре</w:t>
      </w:r>
      <w:r>
        <w:t xml:space="preserve"> у наредном периоду, са очекивањем да ће напредак бити остварен до краја 2026. </w:t>
      </w:r>
      <w:r>
        <w:rPr>
          <w:lang w:val="sr-Cyrl-RS"/>
        </w:rPr>
        <w:t>г</w:t>
      </w:r>
      <w:r>
        <w:t>одине</w:t>
      </w:r>
      <w:r>
        <w:rPr>
          <w:lang w:val="sr-Cyrl-RS"/>
        </w:rPr>
        <w:t xml:space="preserve"> како је и планирано Акционим планом.</w:t>
      </w:r>
      <w:r w:rsidRPr="00F41CE2">
        <w:rPr>
          <w:rFonts w:eastAsia="Times New Roman"/>
          <w:b/>
          <w:kern w:val="0"/>
          <w:lang w:val="sr-Cyrl-RS" w:eastAsia="sr-Cyrl-RS"/>
        </w:rPr>
        <w:t xml:space="preserve"> </w:t>
      </w:r>
    </w:p>
    <w:p w14:paraId="00A907FA" w14:textId="1AC0E85A" w:rsidR="00741D59" w:rsidRDefault="00741D59" w:rsidP="00F41CE2">
      <w:pPr>
        <w:widowControl/>
        <w:suppressAutoHyphens w:val="0"/>
        <w:spacing w:after="240" w:line="276" w:lineRule="auto"/>
        <w:jc w:val="both"/>
        <w:rPr>
          <w:rFonts w:eastAsia="Times New Roman"/>
          <w:b/>
          <w:kern w:val="0"/>
          <w:lang w:val="sr-Cyrl-RS" w:eastAsia="sr-Cyrl-RS"/>
        </w:rPr>
      </w:pPr>
    </w:p>
    <w:p w14:paraId="4D03E9E5" w14:textId="1D5864FA" w:rsidR="00F53328" w:rsidRDefault="00BB791A" w:rsidP="00F41CE2">
      <w:pPr>
        <w:widowControl/>
        <w:suppressAutoHyphens w:val="0"/>
        <w:spacing w:after="240" w:line="276" w:lineRule="auto"/>
        <w:jc w:val="both"/>
        <w:rPr>
          <w:rFonts w:eastAsia="Times New Roman"/>
          <w:b/>
          <w:kern w:val="0"/>
          <w:lang w:val="sr-Cyrl-RS" w:eastAsia="sr-Cyrl-RS"/>
        </w:rPr>
      </w:pPr>
      <w:r w:rsidRPr="00F41CE2">
        <w:rPr>
          <w:rFonts w:eastAsia="Times New Roman"/>
          <w:b/>
          <w:kern w:val="0"/>
          <w:lang w:val="sr-Cyrl-RS" w:eastAsia="sr-Cyrl-RS"/>
        </w:rPr>
        <w:t>Посебан циљ 1.4: Обезбеђено веће учешће ОЦД у процесу европских интеграција</w:t>
      </w:r>
    </w:p>
    <w:p w14:paraId="632688B6" w14:textId="5FED055C" w:rsidR="00F53328" w:rsidRDefault="00F53328" w:rsidP="00F53328">
      <w:pPr>
        <w:rPr>
          <w:rFonts w:eastAsia="Times New Roman"/>
          <w:lang w:val="sr-Cyrl-RS" w:eastAsia="sr-Cyrl-RS"/>
        </w:rPr>
      </w:pPr>
    </w:p>
    <w:p w14:paraId="2A30E5D6" w14:textId="4F567DFB" w:rsidR="001270F3" w:rsidRPr="00F41CE2" w:rsidRDefault="001270F3" w:rsidP="00F41CE2">
      <w:pPr>
        <w:pStyle w:val="Heading3"/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lang w:val="sr-Cyrl-RS"/>
        </w:rPr>
      </w:pPr>
      <w:bookmarkStart w:id="17" w:name="_Toc222911264"/>
      <w:bookmarkStart w:id="18" w:name="_Toc222911367"/>
      <w:r w:rsidRPr="00F41CE2">
        <w:rPr>
          <w:rFonts w:ascii="Times New Roman" w:hAnsi="Times New Roman" w:cs="Times New Roman"/>
          <w:color w:val="auto"/>
        </w:rPr>
        <w:t>Преглед остварености показатеља и мера</w:t>
      </w:r>
      <w:r w:rsidRPr="00F41CE2">
        <w:rPr>
          <w:rFonts w:ascii="Times New Roman" w:hAnsi="Times New Roman" w:cs="Times New Roman"/>
          <w:color w:val="auto"/>
          <w:lang w:val="sr-Cyrl-RS"/>
        </w:rPr>
        <w:t xml:space="preserve"> за Посебан циљ 4</w:t>
      </w:r>
      <w:bookmarkEnd w:id="17"/>
      <w:bookmarkEnd w:id="18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623"/>
        <w:gridCol w:w="1309"/>
        <w:gridCol w:w="3437"/>
      </w:tblGrid>
      <w:tr w:rsidR="00B93FE0" w:rsidRPr="00F41CE2" w14:paraId="7F007A2E" w14:textId="77777777" w:rsidTr="00BB79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EE0EF2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bCs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Мера / Показатељ</w:t>
            </w:r>
          </w:p>
        </w:tc>
        <w:tc>
          <w:tcPr>
            <w:tcW w:w="0" w:type="auto"/>
            <w:vAlign w:val="center"/>
            <w:hideMark/>
          </w:tcPr>
          <w:p w14:paraId="37C0295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bCs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Циљ 2025</w:t>
            </w:r>
          </w:p>
        </w:tc>
        <w:tc>
          <w:tcPr>
            <w:tcW w:w="0" w:type="auto"/>
            <w:vAlign w:val="center"/>
            <w:hideMark/>
          </w:tcPr>
          <w:p w14:paraId="61FEB6C2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bCs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Остварење 2025</w:t>
            </w:r>
          </w:p>
        </w:tc>
        <w:tc>
          <w:tcPr>
            <w:tcW w:w="0" w:type="auto"/>
            <w:vAlign w:val="center"/>
            <w:hideMark/>
          </w:tcPr>
          <w:p w14:paraId="03B62D9C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bCs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Статус</w:t>
            </w:r>
          </w:p>
        </w:tc>
      </w:tr>
      <w:tr w:rsidR="00B93FE0" w:rsidRPr="00F41CE2" w14:paraId="4C4422A5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C45F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ОЦД укључених у праћење преговарачких поглавља,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7EF546AE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2A590A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4AA1714" w14:textId="2B0DCEA8" w:rsidR="00BB791A" w:rsidRPr="003330E1" w:rsidRDefault="003330E1" w:rsidP="00F53328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lang w:val="sr-Cyrl-RS"/>
              </w:rPr>
              <w:t>Постављени</w:t>
            </w:r>
            <w:r>
              <w:t xml:space="preserve"> </w:t>
            </w:r>
            <w:r w:rsidR="00E66123">
              <w:t xml:space="preserve"> индикатор</w:t>
            </w:r>
            <w:r>
              <w:rPr>
                <w:lang w:val="sr-Cyrl-RS"/>
              </w:rPr>
              <w:t>и</w:t>
            </w:r>
            <w:r w:rsidR="00E66123">
              <w:t xml:space="preserve"> не омогућава</w:t>
            </w:r>
            <w:r>
              <w:rPr>
                <w:lang w:val="sr-Cyrl-RS"/>
              </w:rPr>
              <w:t>ју</w:t>
            </w:r>
            <w:r w:rsidR="00E66123">
              <w:t xml:space="preserve"> поуздано праћење реализације</w:t>
            </w:r>
            <w:r>
              <w:rPr>
                <w:lang w:val="sr-Cyrl-RS"/>
              </w:rPr>
              <w:t>.</w:t>
            </w:r>
            <w:r w:rsidR="00E66123">
              <w:t xml:space="preserve"> </w:t>
            </w:r>
          </w:p>
        </w:tc>
      </w:tr>
      <w:tr w:rsidR="00B93FE0" w:rsidRPr="00F41CE2" w14:paraId="18F62AE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1FF9C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консултација са ОЦД у циљу програмирања и праћења спровођења средстава ЕУ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1AE8048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0358E2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75B0C3" w14:textId="77777777" w:rsidR="00BB791A" w:rsidRPr="00E529B0" w:rsidRDefault="00BB791A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>Делимично остварено</w:t>
            </w:r>
          </w:p>
          <w:p w14:paraId="6F0B20CC" w14:textId="5AB9CE1D" w:rsidR="00047053" w:rsidRPr="00F41CE2" w:rsidRDefault="00E529B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kern w:val="0"/>
                <w:lang w:val="sr-Cyrl-RS" w:eastAsia="sr-Cyrl-RS"/>
              </w:rPr>
              <w:t>Током 2025. године, у оквиру праћења и извештавања о спровођењу Реформске агенде, одржана су два састанка са представницима ОЦД у циљу праћења напретка: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br/>
              <w:t>-</w:t>
            </w:r>
            <w:r w:rsidRPr="00E529B0">
              <w:rPr>
                <w:rFonts w:eastAsia="Times New Roman"/>
                <w:kern w:val="0"/>
                <w:lang w:val="sr-Cyrl-RS" w:eastAsia="sr-Cyrl-RS"/>
              </w:rPr>
              <w:t xml:space="preserve"> састанак Одбора за праћење одржан је 2. октобра, као и 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br/>
              <w:t>-</w:t>
            </w:r>
            <w:r w:rsidRPr="00E529B0">
              <w:rPr>
                <w:rFonts w:eastAsia="Times New Roman"/>
                <w:kern w:val="0"/>
                <w:lang w:val="sr-Cyrl-RS" w:eastAsia="sr-Cyrl-RS"/>
              </w:rPr>
              <w:t>састанак са представницима Европске комисије и НКЕУ, одржан 1. децембра.</w:t>
            </w:r>
          </w:p>
        </w:tc>
      </w:tr>
      <w:tr w:rsidR="00B93FE0" w:rsidRPr="00F41CE2" w14:paraId="490F6954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8658A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4.1: Унапређење сарадње ОЦД са органима јавне власти у областима од значаја за европске интеграције, кроз редовно разматрање предлога ОЦД у циљу коришћења експертизе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>ОЦД и остваривања стварног дијалога са ОЦД</w:t>
            </w:r>
          </w:p>
        </w:tc>
        <w:tc>
          <w:tcPr>
            <w:tcW w:w="0" w:type="auto"/>
            <w:vAlign w:val="center"/>
            <w:hideMark/>
          </w:tcPr>
          <w:p w14:paraId="26BC2A8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1BB7B317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15E487A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15321D32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8A2D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организованих јавних расправа/консултација о законима у областима од значаја за европске интеграције, у којима су учествовале ОЦД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509BFE7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7D74C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6F6629D" w14:textId="24A2882E" w:rsidR="00047053" w:rsidRPr="003330E1" w:rsidRDefault="00ED0BDD" w:rsidP="003330E1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t>Постојећи индикатор не омогућава поуздано праћење реализације, те је потребна његова ревизија</w:t>
            </w:r>
          </w:p>
        </w:tc>
      </w:tr>
      <w:tr w:rsidR="00B93FE0" w:rsidRPr="00F41CE2" w14:paraId="1C11699B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6B9D1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одржаних дијалога са ОЦД у областима од значаја за европске интеграције, нарочито владавине права, заштите основних права, борбе против корупције и организованог криминала,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376358AC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94D9ED7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1D38E93" w14:textId="16FFFDFF" w:rsidR="00BB791A" w:rsidRPr="00F41CE2" w:rsidRDefault="00ED0BDD" w:rsidP="003330E1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t>Постојећи индикатор не омогућава поуздано праћење реализације, те је потребна његова ревизија</w:t>
            </w:r>
          </w:p>
        </w:tc>
      </w:tr>
      <w:tr w:rsidR="00B93FE0" w:rsidRPr="00F41CE2" w14:paraId="7E89506D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D2EBB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4.2: Унапређење јавног дискурса о улози ОЦД у европским интеграцијама</w:t>
            </w:r>
          </w:p>
        </w:tc>
        <w:tc>
          <w:tcPr>
            <w:tcW w:w="0" w:type="auto"/>
            <w:vAlign w:val="center"/>
            <w:hideMark/>
          </w:tcPr>
          <w:p w14:paraId="0BC6AA75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5F85FAE8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31F77D2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25DE8065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F7130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објављених информација на интернет страницама органа јавне власти о улози ОЦД у ЕУ интеграцијама у одговарајућим областима,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3B06279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6289327" w14:textId="52B0E96F" w:rsidR="00BB791A" w:rsidRPr="007B2B28" w:rsidRDefault="007B2B28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highlight w:val="green"/>
                <w:lang w:val="sr-Cyrl-RS" w:eastAsia="sr-Cyrl-RS"/>
              </w:rPr>
            </w:pPr>
            <w:r w:rsidRPr="00741D59">
              <w:rPr>
                <w:rFonts w:eastAsia="Times New Roman"/>
                <w:kern w:val="0"/>
                <w:lang w:val="sr-Cyrl-RS" w:eastAsia="sr-Cyrl-R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DA24930" w14:textId="3ADF60FA" w:rsidR="00047053" w:rsidRPr="00033689" w:rsidRDefault="00F53328" w:rsidP="00033689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highlight w:val="green"/>
                <w:lang w:val="sr-Cyrl-RS" w:eastAsia="sr-Cyrl-RS"/>
              </w:rPr>
            </w:pPr>
            <w:r w:rsidRPr="009F6846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</w:tc>
      </w:tr>
      <w:tr w:rsidR="00B93FE0" w:rsidRPr="00F41CE2" w14:paraId="00EE42A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060E1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Проценат грађана који је обавештен о улози ОЦД у области ЕУ интеграција,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17C18ECD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79019F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7</w:t>
            </w:r>
            <w:r w:rsidR="001270F3" w:rsidRPr="00F41CE2">
              <w:rPr>
                <w:rFonts w:eastAsia="Times New Roman"/>
                <w:kern w:val="0"/>
                <w:lang w:val="sr-Cyrl-RS" w:eastAsia="sr-Cyrl-RS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B903BB7" w14:textId="77777777" w:rsidR="00BB791A" w:rsidRDefault="00E529B0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 xml:space="preserve">Делимично </w:t>
            </w:r>
            <w:r w:rsidR="001270F3" w:rsidRPr="00E529B0">
              <w:rPr>
                <w:rFonts w:eastAsia="Times New Roman"/>
                <w:b/>
                <w:kern w:val="0"/>
                <w:lang w:val="sr-Cyrl-RS" w:eastAsia="sr-Cyrl-RS"/>
              </w:rPr>
              <w:t>О</w:t>
            </w:r>
            <w:r w:rsidR="00BB791A" w:rsidRPr="00E529B0">
              <w:rPr>
                <w:rFonts w:eastAsia="Times New Roman"/>
                <w:b/>
                <w:kern w:val="0"/>
                <w:lang w:val="sr-Cyrl-RS" w:eastAsia="sr-Cyrl-RS"/>
              </w:rPr>
              <w:t>стварено</w:t>
            </w:r>
          </w:p>
          <w:p w14:paraId="017AF2C9" w14:textId="4B87A2F0" w:rsidR="00E529B0" w:rsidRPr="00796784" w:rsidRDefault="00E529B0" w:rsidP="00E529B0">
            <w:pPr>
              <w:shd w:val="clear" w:color="auto" w:fill="FFFFFF"/>
              <w:ind w:right="67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kern w:val="0"/>
                <w:lang w:val="sr-Cyrl-RS" w:eastAsia="sr-Cyrl-RS"/>
              </w:rPr>
              <w:t xml:space="preserve">Податак преузет из </w:t>
            </w:r>
            <w:r w:rsidRPr="00796784">
              <w:rPr>
                <w:rFonts w:eastAsia="Times New Roman"/>
                <w:kern w:val="0"/>
                <w:lang w:val="sr-Cyrl-RS" w:eastAsia="sr-Cyrl-RS"/>
              </w:rPr>
              <w:t xml:space="preserve">Анализе јавног мњења 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t>Министарства за европске интеграције</w:t>
            </w:r>
          </w:p>
          <w:p w14:paraId="6E424F6F" w14:textId="63A2106B" w:rsidR="00E529B0" w:rsidRPr="00E529B0" w:rsidRDefault="00E529B0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b/>
                <w:kern w:val="0"/>
                <w:lang w:val="sr-Cyrl-RS" w:eastAsia="sr-Cyrl-RS"/>
              </w:rPr>
            </w:pPr>
          </w:p>
        </w:tc>
      </w:tr>
      <w:tr w:rsidR="00B93FE0" w:rsidRPr="00F41CE2" w14:paraId="53A44AF1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F8E61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4.3: Унапређење положаја ОЦД кроз обезбеђење ефикасне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lastRenderedPageBreak/>
              <w:t>правне заштите за припаднике ОЦД и бранитеље људских права</w:t>
            </w:r>
          </w:p>
        </w:tc>
        <w:tc>
          <w:tcPr>
            <w:tcW w:w="0" w:type="auto"/>
            <w:vAlign w:val="center"/>
            <w:hideMark/>
          </w:tcPr>
          <w:p w14:paraId="6B86024B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0F12E17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62618E7D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22966C8D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BF13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претњи/напада на припаднике ОЦД и бранитеље људских права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70C1B9D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304999F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B394E1" w14:textId="77777777" w:rsidR="00BB791A" w:rsidRDefault="00BB791A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72863B1B" w14:textId="2D82A329" w:rsidR="00810D79" w:rsidRPr="00E529B0" w:rsidRDefault="00810D79" w:rsidP="00F53328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>
              <w:t>Подаци Заштитника грађана показују да су евидентирана два случаја.</w:t>
            </w:r>
          </w:p>
        </w:tc>
      </w:tr>
      <w:tr w:rsidR="00B93FE0" w:rsidRPr="00F41CE2" w14:paraId="18C21C83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F2CDE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консултативних састанака у вези унапређења ефикасности правне заштите за припаднике ОЦД и бранитеље људских права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49F94413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B55774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3D8DAC4" w14:textId="77777777" w:rsidR="00BB791A" w:rsidRDefault="00BB791A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19E8F315" w14:textId="36DEC445" w:rsidR="00E529B0" w:rsidRPr="00E529B0" w:rsidRDefault="00E529B0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kern w:val="0"/>
                <w:lang w:val="sr-Cyrl-RS" w:eastAsia="sr-Cyrl-RS"/>
              </w:rPr>
              <w:t xml:space="preserve">Извештај Повереника за 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t xml:space="preserve">заштиту </w:t>
            </w:r>
            <w:r w:rsidRPr="00E529B0">
              <w:rPr>
                <w:rFonts w:eastAsia="Times New Roman"/>
                <w:kern w:val="0"/>
                <w:lang w:val="sr-Cyrl-RS" w:eastAsia="sr-Cyrl-RS"/>
              </w:rPr>
              <w:t>равноправност</w:t>
            </w:r>
            <w:r w:rsidR="00F53328">
              <w:rPr>
                <w:rFonts w:eastAsia="Times New Roman"/>
                <w:kern w:val="0"/>
                <w:lang w:val="sr-Cyrl-RS" w:eastAsia="sr-Cyrl-RS"/>
              </w:rPr>
              <w:t>и</w:t>
            </w:r>
          </w:p>
        </w:tc>
      </w:tr>
      <w:tr w:rsidR="00B93FE0" w:rsidRPr="00F41CE2" w14:paraId="72D4F67D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C83B0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4.4: Интензивније укључивање ОЦД у процес програмирања и припреме и праћења за коришћење структурних фондова и других средстава ЕУ</w:t>
            </w:r>
          </w:p>
        </w:tc>
        <w:tc>
          <w:tcPr>
            <w:tcW w:w="0" w:type="auto"/>
            <w:vAlign w:val="center"/>
            <w:hideMark/>
          </w:tcPr>
          <w:p w14:paraId="65E4D652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16FEEA6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4C73000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3DB620B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11377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ОЦД укључених у процес програмирања, припреме и праћење коришћења структурних фондова и других средстава ЕУ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1754B864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32870E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6B9E58" w14:textId="77777777" w:rsidR="00BB791A" w:rsidRDefault="00BB791A" w:rsidP="00E529B0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E529B0">
              <w:rPr>
                <w:rFonts w:eastAsia="Times New Roman"/>
                <w:b/>
                <w:kern w:val="0"/>
                <w:lang w:val="sr-Cyrl-RS" w:eastAsia="sr-Cyrl-RS"/>
              </w:rPr>
              <w:t>Остварено</w:t>
            </w:r>
          </w:p>
          <w:p w14:paraId="3573FCCD" w14:textId="01177C04" w:rsidR="00E529B0" w:rsidRPr="00682314" w:rsidRDefault="00E529B0" w:rsidP="00CE657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82314">
              <w:rPr>
                <w:rFonts w:eastAsia="Times New Roman"/>
                <w:kern w:val="0"/>
                <w:lang w:val="sr-Cyrl-RS" w:eastAsia="sr-Cyrl-RS"/>
              </w:rPr>
              <w:t>Током 2025</w:t>
            </w:r>
            <w:r w:rsidR="003330E1">
              <w:rPr>
                <w:rFonts w:eastAsia="Times New Roman"/>
                <w:kern w:val="0"/>
                <w:lang w:val="sr-Cyrl-RS" w:eastAsia="sr-Cyrl-RS"/>
              </w:rPr>
              <w:t>.</w:t>
            </w:r>
            <w:r w:rsidRPr="00682314">
              <w:rPr>
                <w:rFonts w:eastAsia="Times New Roman"/>
                <w:kern w:val="0"/>
                <w:lang w:val="sr-Cyrl-RS" w:eastAsia="sr-Cyrl-RS"/>
              </w:rPr>
              <w:t xml:space="preserve"> године у оквиру праћења и извештавања о спровођењу реформске агенде, одржана су два састанка са представницима организација цивилног друштва у циљу праћења напретка</w:t>
            </w:r>
            <w:r w:rsidR="00682314" w:rsidRPr="00682314">
              <w:rPr>
                <w:rFonts w:eastAsia="Times New Roman"/>
                <w:kern w:val="0"/>
                <w:lang w:val="sr-Cyrl-RS" w:eastAsia="sr-Cyrl-RS"/>
              </w:rPr>
              <w:t xml:space="preserve">. Састанак одбора за праћење одржан 2. октобра, као и састанак са представницима Европске комисије и НКЕУ одржан 1 децембра. Учествовало је 7 </w:t>
            </w:r>
            <w:r w:rsidR="00CE6572">
              <w:rPr>
                <w:rFonts w:eastAsia="Times New Roman"/>
                <w:kern w:val="0"/>
                <w:lang w:val="sr-Cyrl-RS" w:eastAsia="sr-Cyrl-RS"/>
              </w:rPr>
              <w:t>ОЦД.</w:t>
            </w:r>
          </w:p>
        </w:tc>
      </w:tr>
      <w:tr w:rsidR="00B93FE0" w:rsidRPr="00F41CE2" w14:paraId="3461222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1B09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lastRenderedPageBreak/>
              <w:t>Број обука на годишњем нивоу намењених ОЦД о програмирању и припреми и праћењу коришћења структурних фондова и других средстава ЕУ, који укључују и сарадњу са органима јавне власти</w:t>
            </w:r>
          </w:p>
        </w:tc>
        <w:tc>
          <w:tcPr>
            <w:tcW w:w="0" w:type="auto"/>
            <w:vAlign w:val="center"/>
            <w:hideMark/>
          </w:tcPr>
          <w:p w14:paraId="34B0A630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E459A6" w14:textId="0B940AA6" w:rsidR="00BB791A" w:rsidRPr="00F41CE2" w:rsidRDefault="00682314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F73B632" w14:textId="77777777" w:rsidR="00BB791A" w:rsidRPr="00682314" w:rsidRDefault="00682314" w:rsidP="0068231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682314">
              <w:rPr>
                <w:rFonts w:eastAsia="Times New Roman"/>
                <w:b/>
                <w:kern w:val="0"/>
                <w:lang w:val="sr-Cyrl-RS" w:eastAsia="sr-Cyrl-RS"/>
              </w:rPr>
              <w:t>Није остварено</w:t>
            </w:r>
          </w:p>
          <w:p w14:paraId="0E5029D2" w14:textId="2A50B615" w:rsidR="00682314" w:rsidRPr="00F41CE2" w:rsidRDefault="00682314" w:rsidP="00CE657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682314">
              <w:rPr>
                <w:rFonts w:eastAsia="Times New Roman"/>
                <w:kern w:val="0"/>
                <w:lang w:val="sr-Cyrl-RS" w:eastAsia="sr-Cyrl-RS"/>
              </w:rPr>
              <w:t>Промене које је Европска комисија увела у погледу приступа и динамике коришћења финансијских с</w:t>
            </w:r>
            <w:r>
              <w:rPr>
                <w:rFonts w:eastAsia="Times New Roman"/>
                <w:kern w:val="0"/>
                <w:lang w:val="sr-Cyrl-RS" w:eastAsia="sr-Cyrl-RS"/>
              </w:rPr>
              <w:t>редстава ЕУ, резултирале су тиме</w:t>
            </w:r>
            <w:r w:rsidRPr="00682314">
              <w:rPr>
                <w:rFonts w:eastAsia="Times New Roman"/>
                <w:kern w:val="0"/>
                <w:lang w:val="sr-Cyrl-RS" w:eastAsia="sr-Cyrl-RS"/>
              </w:rPr>
              <w:t xml:space="preserve"> </w:t>
            </w:r>
            <w:r>
              <w:rPr>
                <w:rFonts w:eastAsia="Times New Roman"/>
                <w:kern w:val="0"/>
                <w:lang w:val="sr-Cyrl-RS" w:eastAsia="sr-Cyrl-RS"/>
              </w:rPr>
              <w:t>да</w:t>
            </w:r>
            <w:r w:rsidRPr="00682314">
              <w:rPr>
                <w:rFonts w:eastAsia="Times New Roman"/>
                <w:kern w:val="0"/>
                <w:lang w:val="sr-Cyrl-RS" w:eastAsia="sr-Cyrl-RS"/>
              </w:rPr>
              <w:t xml:space="preserve"> током 2025. године није било прилике за организацију обука намењених </w:t>
            </w:r>
            <w:r w:rsidR="00CE6572">
              <w:rPr>
                <w:rFonts w:eastAsia="Times New Roman"/>
                <w:kern w:val="0"/>
                <w:lang w:val="sr-Cyrl-RS" w:eastAsia="sr-Cyrl-RS"/>
              </w:rPr>
              <w:t>ОЦД</w:t>
            </w:r>
            <w:r w:rsidRPr="00682314">
              <w:rPr>
                <w:rFonts w:eastAsia="Times New Roman"/>
                <w:kern w:val="0"/>
                <w:lang w:val="sr-Cyrl-RS" w:eastAsia="sr-Cyrl-RS"/>
              </w:rPr>
              <w:t xml:space="preserve">. У контексту припреме за наредну финансијску перспективу ЕУ(МФФ 2028-2035) биће узето у обзир и благовремено информисање и укључивање </w:t>
            </w:r>
            <w:r w:rsidR="00CE6572">
              <w:rPr>
                <w:rFonts w:eastAsia="Times New Roman"/>
                <w:kern w:val="0"/>
                <w:lang w:val="sr-Cyrl-RS" w:eastAsia="sr-Cyrl-RS"/>
              </w:rPr>
              <w:t>ОЦД.</w:t>
            </w:r>
          </w:p>
        </w:tc>
      </w:tr>
      <w:tr w:rsidR="00B93FE0" w:rsidRPr="00F41CE2" w14:paraId="696D0CC0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7E2E0" w14:textId="77777777" w:rsidR="00BB791A" w:rsidRPr="00F41CE2" w:rsidRDefault="001270F3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 xml:space="preserve">Мера </w:t>
            </w:r>
            <w:r w:rsidR="00BB791A" w:rsidRPr="00F41CE2">
              <w:rPr>
                <w:rFonts w:eastAsia="Times New Roman"/>
                <w:b/>
                <w:bCs/>
                <w:kern w:val="0"/>
                <w:lang w:val="sr-Cyrl-RS" w:eastAsia="sr-Cyrl-RS"/>
              </w:rPr>
              <w:t>4.5: Јачање свести грађана о процесу ЕУ интеграција кроз сарадњу са ОЦД</w:t>
            </w:r>
          </w:p>
        </w:tc>
        <w:tc>
          <w:tcPr>
            <w:tcW w:w="0" w:type="auto"/>
            <w:vAlign w:val="center"/>
            <w:hideMark/>
          </w:tcPr>
          <w:p w14:paraId="65776165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2FE05E7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4D950852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</w:p>
        </w:tc>
      </w:tr>
      <w:tr w:rsidR="00B93FE0" w:rsidRPr="00F41CE2" w14:paraId="1245E0A8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F0F39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Број заједничких активности органа јавне власти и ОЦД усмерених на унапређење свести грађана о процесу ЕУ интеграција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6647BFA4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8FF0C9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1532AC" w14:textId="5E1EE5A9" w:rsidR="00BB791A" w:rsidRPr="00B14EDC" w:rsidRDefault="00ED0BDD" w:rsidP="00B14EDC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>
              <w:t>Постојећи систем индикатора не омогућав</w:t>
            </w:r>
            <w:r w:rsidR="00B14EDC">
              <w:t>а поуздано праћење реализације</w:t>
            </w:r>
          </w:p>
        </w:tc>
      </w:tr>
      <w:tr w:rsidR="00B93FE0" w:rsidRPr="00F41CE2" w14:paraId="670119F6" w14:textId="77777777" w:rsidTr="00BB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83D4A" w14:textId="77777777" w:rsidR="00BB791A" w:rsidRPr="00F41CE2" w:rsidRDefault="00BB791A" w:rsidP="00F41CE2">
            <w:pPr>
              <w:widowControl/>
              <w:suppressAutoHyphens w:val="0"/>
              <w:spacing w:after="240" w:line="276" w:lineRule="auto"/>
              <w:jc w:val="both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Проценат разумевања јавног мњења о користи приступања ЕУ у свакодневном животу, на годишњем нивоу</w:t>
            </w:r>
          </w:p>
        </w:tc>
        <w:tc>
          <w:tcPr>
            <w:tcW w:w="0" w:type="auto"/>
            <w:vAlign w:val="center"/>
            <w:hideMark/>
          </w:tcPr>
          <w:p w14:paraId="25E3F27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4D963A6" w14:textId="77777777" w:rsidR="00BB791A" w:rsidRPr="00F41CE2" w:rsidRDefault="00BB791A" w:rsidP="00B07D33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 w:rsidRPr="00F41CE2">
              <w:rPr>
                <w:rFonts w:eastAsia="Times New Roman"/>
                <w:kern w:val="0"/>
                <w:lang w:val="sr-Cyrl-RS" w:eastAsia="sr-Cyrl-RS"/>
              </w:rPr>
              <w:t>38-40</w:t>
            </w:r>
          </w:p>
        </w:tc>
        <w:tc>
          <w:tcPr>
            <w:tcW w:w="0" w:type="auto"/>
            <w:vAlign w:val="center"/>
            <w:hideMark/>
          </w:tcPr>
          <w:p w14:paraId="298B1D5E" w14:textId="77777777" w:rsidR="00BB791A" w:rsidRDefault="001270F3" w:rsidP="0068231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kern w:val="0"/>
                <w:lang w:val="sr-Cyrl-RS" w:eastAsia="sr-Cyrl-RS"/>
              </w:rPr>
            </w:pPr>
            <w:r w:rsidRPr="00682314">
              <w:rPr>
                <w:rFonts w:eastAsia="Times New Roman"/>
                <w:b/>
                <w:kern w:val="0"/>
                <w:lang w:val="sr-Cyrl-RS" w:eastAsia="sr-Cyrl-RS"/>
              </w:rPr>
              <w:t>О</w:t>
            </w:r>
            <w:r w:rsidR="00BB791A" w:rsidRPr="00682314">
              <w:rPr>
                <w:rFonts w:eastAsia="Times New Roman"/>
                <w:b/>
                <w:kern w:val="0"/>
                <w:lang w:val="sr-Cyrl-RS" w:eastAsia="sr-Cyrl-RS"/>
              </w:rPr>
              <w:t>стварено</w:t>
            </w:r>
          </w:p>
          <w:p w14:paraId="12D0956C" w14:textId="5A4819BB" w:rsidR="00682314" w:rsidRPr="00682314" w:rsidRDefault="00F262DD" w:rsidP="00682314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kern w:val="0"/>
                <w:lang w:val="sr-Cyrl-RS" w:eastAsia="sr-Cyrl-RS"/>
              </w:rPr>
            </w:pPr>
            <w:r>
              <w:t>38% испитаника сматра да би они лично имали користи од приступања ЕУ у свакодневном животу</w:t>
            </w:r>
            <w:r w:rsidR="00671429">
              <w:rPr>
                <w:lang w:val="sr-Cyrl-RS"/>
              </w:rPr>
              <w:t>,</w:t>
            </w:r>
            <w:r>
              <w:rPr>
                <w:lang w:val="sr-Cyrl-RS"/>
              </w:rPr>
              <w:t xml:space="preserve"> док </w:t>
            </w:r>
            <w:r>
              <w:t>40% испитаника верује да би приступање ЕУ било корисно за државу у целини</w:t>
            </w:r>
          </w:p>
        </w:tc>
      </w:tr>
    </w:tbl>
    <w:p w14:paraId="3B9B4EB0" w14:textId="77777777" w:rsidR="009F6846" w:rsidRDefault="00682314" w:rsidP="009F6846">
      <w:pPr>
        <w:pStyle w:val="NormalWeb"/>
        <w:spacing w:after="240" w:afterAutospacing="0" w:line="276" w:lineRule="auto"/>
        <w:ind w:firstLine="708"/>
        <w:jc w:val="both"/>
      </w:pPr>
      <w:bookmarkStart w:id="19" w:name="_Toc222911265"/>
      <w:bookmarkStart w:id="20" w:name="_Toc222911368"/>
      <w:r w:rsidRPr="009F6846">
        <w:lastRenderedPageBreak/>
        <w:t>Напредак Посебног циља 1.4 у 2025. години је делимичан и неравномеран. Већи број показатеља који се односе на учешће ОЦД у праћењу преговарачких поглавља, јавним расправама и консултацијама није остварен или за њих нису доступни поуздани подаци.</w:t>
      </w:r>
    </w:p>
    <w:p w14:paraId="23C66432" w14:textId="1899C27B" w:rsidR="00682314" w:rsidRDefault="00741D59" w:rsidP="009F6846">
      <w:pPr>
        <w:pStyle w:val="NormalWeb"/>
        <w:spacing w:after="240" w:afterAutospacing="0" w:line="276" w:lineRule="auto"/>
        <w:ind w:firstLine="708"/>
        <w:jc w:val="both"/>
      </w:pPr>
      <w:r w:rsidRPr="009F6846">
        <w:t>Унапређење нормативног оквира</w:t>
      </w:r>
      <w:r w:rsidR="00682314" w:rsidRPr="009F6846">
        <w:t xml:space="preserve">, </w:t>
      </w:r>
      <w:r w:rsidR="009F6846">
        <w:t xml:space="preserve">израда </w:t>
      </w:r>
      <w:r w:rsidR="00682314" w:rsidRPr="009F6846">
        <w:t>стратешко</w:t>
      </w:r>
      <w:r w:rsidR="009F6846">
        <w:t xml:space="preserve">г оквира </w:t>
      </w:r>
      <w:r w:rsidR="00682314" w:rsidRPr="009F6846">
        <w:t xml:space="preserve"> </w:t>
      </w:r>
      <w:r w:rsidRPr="009F6846">
        <w:t xml:space="preserve">у областима </w:t>
      </w:r>
      <w:r w:rsidR="00671429" w:rsidRPr="009F6846">
        <w:t>соцо-економског</w:t>
      </w:r>
      <w:r w:rsidRPr="009F6846">
        <w:t xml:space="preserve"> развоја </w:t>
      </w:r>
      <w:r w:rsidR="00682314" w:rsidRPr="009F6846">
        <w:t xml:space="preserve">и јачање </w:t>
      </w:r>
      <w:r w:rsidRPr="009F6846">
        <w:t xml:space="preserve">институционалне </w:t>
      </w:r>
      <w:r w:rsidR="003330E1" w:rsidRPr="009F6846">
        <w:t>сарадње са организацијама цивилног друштва</w:t>
      </w:r>
      <w:r w:rsidR="00682314" w:rsidRPr="009F6846">
        <w:t xml:space="preserve"> остају кључне области које захтевају додатне активности, уз очекивање да ће напредак бити остварен до краја 2026. године, у складу са планом </w:t>
      </w:r>
      <w:r w:rsidR="009F6846" w:rsidRPr="009F6846">
        <w:t>предвиђени</w:t>
      </w:r>
      <w:r w:rsidR="009F6846">
        <w:t>м</w:t>
      </w:r>
      <w:r w:rsidR="00682314" w:rsidRPr="009F6846">
        <w:t xml:space="preserve"> Акционим планом.</w:t>
      </w:r>
    </w:p>
    <w:p w14:paraId="33006CE0" w14:textId="280A074A" w:rsidR="00C91AE0" w:rsidRPr="0062398F" w:rsidRDefault="00C91AE0" w:rsidP="00033689">
      <w:pPr>
        <w:pStyle w:val="Heading1"/>
        <w:jc w:val="center"/>
      </w:pPr>
      <w:r w:rsidRPr="0062398F">
        <w:t>ПРЕГЛЕД ПЛАНИРАНИХ И УТРОШЕНИХ ФИНАНСИЈСКИХ СРЕДСТАВА ЗА ПЕРИОД ИЗВЕШТАВАЊА</w:t>
      </w:r>
      <w:bookmarkEnd w:id="19"/>
      <w:bookmarkEnd w:id="20"/>
    </w:p>
    <w:p w14:paraId="325DABB6" w14:textId="0A104CB4" w:rsidR="00154EAF" w:rsidRPr="00F41CE2" w:rsidRDefault="00C91AE0" w:rsidP="00F41CE2">
      <w:pPr>
        <w:pStyle w:val="NormalWeb"/>
        <w:spacing w:after="240" w:afterAutospacing="0" w:line="276" w:lineRule="auto"/>
        <w:jc w:val="both"/>
      </w:pPr>
      <w:r>
        <w:t>У 2025</w:t>
      </w:r>
      <w:r w:rsidR="00154EAF" w:rsidRPr="00F41CE2">
        <w:t xml:space="preserve">. години </w:t>
      </w:r>
      <w:r w:rsidR="00D7554E">
        <w:t>планирана</w:t>
      </w:r>
      <w:r w:rsidR="00154EAF" w:rsidRPr="00F41CE2">
        <w:t xml:space="preserve"> су финансијска средства </w:t>
      </w:r>
      <w:r w:rsidR="00B91071">
        <w:t>за активности које се континуирано реализују</w:t>
      </w:r>
      <w:r w:rsidR="00B91071" w:rsidRPr="00F41CE2">
        <w:t xml:space="preserve"> </w:t>
      </w:r>
      <w:r w:rsidR="00154EAF" w:rsidRPr="00F41CE2">
        <w:t xml:space="preserve">у укупном износу од </w:t>
      </w:r>
      <w:r w:rsidRPr="00C91AE0">
        <w:rPr>
          <w:bCs/>
        </w:rPr>
        <w:t>125.300.000</w:t>
      </w:r>
      <w:r>
        <w:rPr>
          <w:b/>
          <w:bCs/>
        </w:rPr>
        <w:t xml:space="preserve"> </w:t>
      </w:r>
      <w:r w:rsidRPr="00C91AE0">
        <w:rPr>
          <w:bCs/>
        </w:rPr>
        <w:t>динара</w:t>
      </w:r>
      <w:r w:rsidR="00154EAF" w:rsidRPr="00C91AE0">
        <w:t xml:space="preserve"> </w:t>
      </w:r>
      <w:r w:rsidR="00154EAF" w:rsidRPr="00F41CE2">
        <w:t>и то: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997"/>
        <w:gridCol w:w="1964"/>
        <w:gridCol w:w="2227"/>
      </w:tblGrid>
      <w:tr w:rsidR="00B91071" w:rsidRPr="00B91071" w14:paraId="5B35D54F" w14:textId="77777777" w:rsidTr="00154E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9132E4" w14:textId="77777777" w:rsidR="00154EAF" w:rsidRPr="00B91071" w:rsidRDefault="00154EAF" w:rsidP="0050590F">
            <w:pPr>
              <w:widowControl/>
              <w:suppressAutoHyphens w:val="0"/>
              <w:spacing w:after="240" w:line="276" w:lineRule="auto"/>
              <w:jc w:val="center"/>
              <w:rPr>
                <w:rFonts w:eastAsia="Times New Roman"/>
                <w:b/>
                <w:bCs/>
                <w:kern w:val="0"/>
              </w:rPr>
            </w:pPr>
            <w:r w:rsidRPr="00B91071">
              <w:rPr>
                <w:b/>
                <w:bCs/>
                <w:lang w:val="sr-Cyrl-RS"/>
              </w:rPr>
              <w:t>М</w:t>
            </w:r>
            <w:r w:rsidRPr="00B91071">
              <w:rPr>
                <w:b/>
                <w:bCs/>
              </w:rPr>
              <w:t>инистарство</w:t>
            </w:r>
          </w:p>
        </w:tc>
        <w:tc>
          <w:tcPr>
            <w:tcW w:w="0" w:type="auto"/>
            <w:vAlign w:val="center"/>
            <w:hideMark/>
          </w:tcPr>
          <w:p w14:paraId="335A4380" w14:textId="77777777" w:rsidR="00154EAF" w:rsidRPr="00B91071" w:rsidRDefault="00154EAF" w:rsidP="0050590F">
            <w:pPr>
              <w:spacing w:after="240" w:line="276" w:lineRule="auto"/>
              <w:jc w:val="center"/>
              <w:rPr>
                <w:b/>
                <w:bCs/>
              </w:rPr>
            </w:pPr>
            <w:r w:rsidRPr="00B91071">
              <w:rPr>
                <w:b/>
                <w:bCs/>
              </w:rPr>
              <w:t>Планирана средства (РСД)</w:t>
            </w:r>
          </w:p>
        </w:tc>
        <w:tc>
          <w:tcPr>
            <w:tcW w:w="0" w:type="auto"/>
            <w:vAlign w:val="center"/>
            <w:hideMark/>
          </w:tcPr>
          <w:p w14:paraId="28DC43D8" w14:textId="77777777" w:rsidR="00154EAF" w:rsidRPr="00B91071" w:rsidRDefault="00154EAF" w:rsidP="0050590F">
            <w:pPr>
              <w:spacing w:after="240" w:line="276" w:lineRule="auto"/>
              <w:jc w:val="center"/>
              <w:rPr>
                <w:b/>
                <w:bCs/>
              </w:rPr>
            </w:pPr>
            <w:r w:rsidRPr="00B91071">
              <w:rPr>
                <w:b/>
                <w:bCs/>
              </w:rPr>
              <w:t>Утрошена средства (РСД)</w:t>
            </w:r>
          </w:p>
        </w:tc>
        <w:tc>
          <w:tcPr>
            <w:tcW w:w="0" w:type="auto"/>
            <w:vAlign w:val="center"/>
            <w:hideMark/>
          </w:tcPr>
          <w:p w14:paraId="25236DBE" w14:textId="77777777" w:rsidR="00154EAF" w:rsidRPr="00B91071" w:rsidRDefault="00154EAF" w:rsidP="0050590F">
            <w:pPr>
              <w:spacing w:after="240" w:line="276" w:lineRule="auto"/>
              <w:jc w:val="center"/>
              <w:rPr>
                <w:b/>
                <w:bCs/>
              </w:rPr>
            </w:pPr>
            <w:r w:rsidRPr="00B91071">
              <w:rPr>
                <w:b/>
                <w:bCs/>
              </w:rPr>
              <w:t>Напомена</w:t>
            </w:r>
          </w:p>
        </w:tc>
      </w:tr>
      <w:tr w:rsidR="00B91071" w:rsidRPr="00B91071" w14:paraId="3476F1C4" w14:textId="77777777" w:rsidTr="0015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515E2" w14:textId="77777777" w:rsidR="00154EAF" w:rsidRPr="00B91071" w:rsidRDefault="00154EAF" w:rsidP="00033689">
            <w:pPr>
              <w:spacing w:after="240" w:line="276" w:lineRule="auto"/>
            </w:pPr>
            <w:r w:rsidRPr="00B91071">
              <w:t>Министарство информисања и телекомуникација</w:t>
            </w:r>
          </w:p>
        </w:tc>
        <w:tc>
          <w:tcPr>
            <w:tcW w:w="0" w:type="auto"/>
            <w:vAlign w:val="center"/>
            <w:hideMark/>
          </w:tcPr>
          <w:p w14:paraId="6465654D" w14:textId="071AC7B2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4.000.000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20EC31E3" w14:textId="7E77A884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6.590.000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20428F0F" w14:textId="3205A929" w:rsidR="00154EAF" w:rsidRPr="00B91071" w:rsidRDefault="00216B99" w:rsidP="00216B99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rPr>
                <w:lang w:val="sr-Cyrl-RS"/>
              </w:rPr>
              <w:t xml:space="preserve">Утрошено је више средстава. </w:t>
            </w:r>
          </w:p>
        </w:tc>
      </w:tr>
      <w:tr w:rsidR="00B91071" w:rsidRPr="00B91071" w14:paraId="637C28A1" w14:textId="77777777" w:rsidTr="0015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5B256" w14:textId="77777777" w:rsidR="00154EAF" w:rsidRPr="00B91071" w:rsidRDefault="00154EAF" w:rsidP="00033689">
            <w:pPr>
              <w:spacing w:after="240" w:line="276" w:lineRule="auto"/>
            </w:pPr>
            <w:r w:rsidRPr="00B91071">
              <w:t>Министарство туризма и омладине</w:t>
            </w:r>
          </w:p>
        </w:tc>
        <w:tc>
          <w:tcPr>
            <w:tcW w:w="0" w:type="auto"/>
            <w:vAlign w:val="center"/>
            <w:hideMark/>
          </w:tcPr>
          <w:p w14:paraId="0B3767AF" w14:textId="74C3EEB0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10.000.000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67916144" w14:textId="25052790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10.700.000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4F4D4C7D" w14:textId="1E3764EF" w:rsidR="00154EAF" w:rsidRPr="00B91071" w:rsidRDefault="00216B99" w:rsidP="00F41CE2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rPr>
                <w:lang w:val="sr-Cyrl-RS"/>
              </w:rPr>
              <w:t>Утрошено је више средстава.</w:t>
            </w:r>
          </w:p>
        </w:tc>
      </w:tr>
      <w:tr w:rsidR="00B91071" w:rsidRPr="00B91071" w14:paraId="5F107F03" w14:textId="77777777" w:rsidTr="0015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FA4CC" w14:textId="77777777" w:rsidR="00154EAF" w:rsidRPr="00B91071" w:rsidRDefault="00154EAF" w:rsidP="00033689">
            <w:pPr>
              <w:spacing w:after="240" w:line="276" w:lineRule="auto"/>
            </w:pPr>
            <w:r w:rsidRPr="00B91071">
              <w:t>Министарство просвете</w:t>
            </w:r>
          </w:p>
        </w:tc>
        <w:tc>
          <w:tcPr>
            <w:tcW w:w="0" w:type="auto"/>
            <w:vAlign w:val="center"/>
            <w:hideMark/>
          </w:tcPr>
          <w:p w14:paraId="17D1E6B3" w14:textId="04E5BBAA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100.000.000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6A8C2A88" w14:textId="5E56D1DA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100.000.000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1E488484" w14:textId="37FA2E42" w:rsidR="00154EAF" w:rsidRPr="00B91071" w:rsidRDefault="00154EAF" w:rsidP="00F41CE2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t>Утрошено по плану</w:t>
            </w:r>
            <w:r w:rsidR="00216B99" w:rsidRPr="00B91071">
              <w:rPr>
                <w:lang w:val="sr-Cyrl-RS"/>
              </w:rPr>
              <w:t>.</w:t>
            </w:r>
          </w:p>
        </w:tc>
      </w:tr>
      <w:tr w:rsidR="00B91071" w:rsidRPr="00B91071" w14:paraId="6F424261" w14:textId="77777777" w:rsidTr="00154E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585BC" w14:textId="77777777" w:rsidR="00154EAF" w:rsidRPr="00B91071" w:rsidRDefault="00154EAF" w:rsidP="00033689">
            <w:pPr>
              <w:spacing w:after="240" w:line="276" w:lineRule="auto"/>
            </w:pPr>
            <w:r w:rsidRPr="00B91071">
              <w:t>Министарство за европске интеграције</w:t>
            </w:r>
          </w:p>
        </w:tc>
        <w:tc>
          <w:tcPr>
            <w:tcW w:w="0" w:type="auto"/>
            <w:vAlign w:val="center"/>
            <w:hideMark/>
          </w:tcPr>
          <w:p w14:paraId="7E48497F" w14:textId="67276B97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11.300.000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363882ED" w14:textId="49CD747F" w:rsidR="00154EAF" w:rsidRPr="00033689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  <w:r w:rsidRPr="00B91071">
              <w:t>0</w:t>
            </w:r>
            <w:r w:rsidR="00671429">
              <w:rPr>
                <w:lang w:val="sr-Cyrl-RS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31038641" w14:textId="38B95F0C" w:rsidR="00154EAF" w:rsidRPr="00B91071" w:rsidRDefault="00216B99" w:rsidP="009F6846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rPr>
                <w:lang w:val="sr-Cyrl-RS"/>
              </w:rPr>
              <w:t>Планирани ј</w:t>
            </w:r>
            <w:r w:rsidR="00154EAF" w:rsidRPr="00B91071">
              <w:t xml:space="preserve">авни конкурс није </w:t>
            </w:r>
            <w:r w:rsidR="009F6846">
              <w:rPr>
                <w:lang w:val="sr-Cyrl-RS"/>
              </w:rPr>
              <w:t>реализован</w:t>
            </w:r>
            <w:r w:rsidRPr="00B91071">
              <w:rPr>
                <w:lang w:val="sr-Cyrl-RS"/>
              </w:rPr>
              <w:t>.</w:t>
            </w:r>
          </w:p>
        </w:tc>
      </w:tr>
      <w:tr w:rsidR="00B91071" w:rsidRPr="00B91071" w14:paraId="374F017B" w14:textId="77777777" w:rsidTr="00154EAF">
        <w:trPr>
          <w:tblCellSpacing w:w="15" w:type="dxa"/>
        </w:trPr>
        <w:tc>
          <w:tcPr>
            <w:tcW w:w="0" w:type="auto"/>
            <w:vAlign w:val="center"/>
          </w:tcPr>
          <w:p w14:paraId="5BF96A1D" w14:textId="77777777" w:rsidR="00154EAF" w:rsidRPr="00B91071" w:rsidRDefault="00154EAF" w:rsidP="00F41CE2">
            <w:pPr>
              <w:spacing w:after="240" w:line="276" w:lineRule="auto"/>
              <w:jc w:val="both"/>
              <w:rPr>
                <w:lang w:val="sr-Cyrl-RS"/>
              </w:rPr>
            </w:pPr>
            <w:r w:rsidRPr="00B91071">
              <w:rPr>
                <w:lang w:val="sr-Cyrl-RS"/>
              </w:rPr>
              <w:t>Укупно:</w:t>
            </w:r>
          </w:p>
        </w:tc>
        <w:tc>
          <w:tcPr>
            <w:tcW w:w="0" w:type="auto"/>
            <w:vAlign w:val="center"/>
          </w:tcPr>
          <w:p w14:paraId="686173BB" w14:textId="117F493A" w:rsidR="007D3820" w:rsidRDefault="007D3820" w:rsidP="00F53453">
            <w:pPr>
              <w:spacing w:after="240" w:line="276" w:lineRule="auto"/>
              <w:jc w:val="center"/>
              <w:rPr>
                <w:b/>
                <w:lang w:val="sr-Cyrl-RS"/>
              </w:rPr>
            </w:pPr>
          </w:p>
          <w:p w14:paraId="0A68C383" w14:textId="687E48D1" w:rsidR="00154EAF" w:rsidRPr="00B91071" w:rsidRDefault="00154EAF" w:rsidP="007D3820">
            <w:pPr>
              <w:spacing w:after="240" w:line="276" w:lineRule="auto"/>
              <w:jc w:val="center"/>
              <w:rPr>
                <w:b/>
                <w:lang w:val="sr-Cyrl-RS"/>
              </w:rPr>
            </w:pPr>
            <w:r w:rsidRPr="00B91071">
              <w:rPr>
                <w:b/>
                <w:lang w:val="sr-Cyrl-RS"/>
              </w:rPr>
              <w:t>125.300.000,00</w:t>
            </w:r>
          </w:p>
          <w:p w14:paraId="70213E6C" w14:textId="77777777" w:rsidR="00154EAF" w:rsidRPr="00B91071" w:rsidRDefault="00154EAF" w:rsidP="00F53453">
            <w:pPr>
              <w:spacing w:after="240" w:line="276" w:lineRule="auto"/>
              <w:jc w:val="center"/>
              <w:rPr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46649A2A" w14:textId="77777777" w:rsidR="00154EAF" w:rsidRPr="00B91071" w:rsidRDefault="00154EAF" w:rsidP="00B07D33">
            <w:pPr>
              <w:spacing w:line="276" w:lineRule="auto"/>
              <w:jc w:val="center"/>
              <w:rPr>
                <w:b/>
                <w:lang w:val="sr-Cyrl-RS"/>
              </w:rPr>
            </w:pPr>
            <w:r w:rsidRPr="00B91071">
              <w:rPr>
                <w:b/>
                <w:lang w:val="sr-Cyrl-RS"/>
              </w:rPr>
              <w:t>117.290.000,00</w:t>
            </w:r>
          </w:p>
        </w:tc>
        <w:tc>
          <w:tcPr>
            <w:tcW w:w="0" w:type="auto"/>
            <w:vAlign w:val="center"/>
          </w:tcPr>
          <w:p w14:paraId="1C7B0A83" w14:textId="77777777" w:rsidR="00154EAF" w:rsidRPr="00B91071" w:rsidRDefault="00154EAF" w:rsidP="00F41CE2">
            <w:pPr>
              <w:spacing w:after="240" w:line="276" w:lineRule="auto"/>
              <w:jc w:val="both"/>
            </w:pPr>
          </w:p>
        </w:tc>
      </w:tr>
    </w:tbl>
    <w:p w14:paraId="6CF8A6DE" w14:textId="77777777" w:rsidR="001270F3" w:rsidRPr="00B91071" w:rsidRDefault="00FF6EA1" w:rsidP="00F41CE2">
      <w:pPr>
        <w:widowControl/>
        <w:suppressAutoHyphens w:val="0"/>
        <w:spacing w:after="240" w:line="276" w:lineRule="auto"/>
        <w:jc w:val="both"/>
      </w:pPr>
      <w:r w:rsidRPr="00B91071">
        <w:t xml:space="preserve">У 2025. години укупно је утрошено </w:t>
      </w:r>
      <w:r w:rsidRPr="00B91071">
        <w:rPr>
          <w:rStyle w:val="Strong"/>
          <w:b w:val="0"/>
        </w:rPr>
        <w:t>117.290.000 динара</w:t>
      </w:r>
      <w:r w:rsidRPr="00B91071">
        <w:t xml:space="preserve"> од планираних </w:t>
      </w:r>
      <w:r w:rsidRPr="00B91071">
        <w:rPr>
          <w:rStyle w:val="Strong"/>
          <w:b w:val="0"/>
        </w:rPr>
        <w:t>125.300.000 динара</w:t>
      </w:r>
      <w:r w:rsidRPr="00B91071">
        <w:t xml:space="preserve">, што износи око </w:t>
      </w:r>
      <w:r w:rsidRPr="00B91071">
        <w:rPr>
          <w:rStyle w:val="Strong"/>
          <w:b w:val="0"/>
        </w:rPr>
        <w:t>93,7% плана</w:t>
      </w:r>
      <w:r w:rsidRPr="00B91071">
        <w:t>.</w:t>
      </w:r>
    </w:p>
    <w:p w14:paraId="1A269507" w14:textId="77777777" w:rsidR="00C33809" w:rsidRPr="0062398F" w:rsidRDefault="00B93FE0" w:rsidP="0062398F">
      <w:pPr>
        <w:pStyle w:val="Heading1"/>
        <w:jc w:val="center"/>
      </w:pPr>
      <w:bookmarkStart w:id="21" w:name="_Toc222911266"/>
      <w:bookmarkStart w:id="22" w:name="_Toc222911369"/>
      <w:r w:rsidRPr="0062398F">
        <w:lastRenderedPageBreak/>
        <w:t>ЗАКЉУЧАК</w:t>
      </w:r>
      <w:bookmarkEnd w:id="21"/>
      <w:bookmarkEnd w:id="22"/>
    </w:p>
    <w:p w14:paraId="11477C2A" w14:textId="468AC36F" w:rsidR="009F6846" w:rsidRPr="00096EC4" w:rsidRDefault="009F6846" w:rsidP="009F6846">
      <w:pPr>
        <w:spacing w:after="240" w:line="276" w:lineRule="auto"/>
        <w:jc w:val="both"/>
        <w:rPr>
          <w:lang w:val="sr-Cyrl-RS"/>
        </w:rPr>
      </w:pPr>
      <w:r>
        <w:rPr>
          <w:lang w:val="sr-Cyrl-RS"/>
        </w:rPr>
        <w:t xml:space="preserve">Реализација Акционог плана у 2025. години  је </w:t>
      </w:r>
      <w:r w:rsidRPr="00885CE1">
        <w:t xml:space="preserve"> </w:t>
      </w:r>
      <w:r>
        <w:rPr>
          <w:lang w:val="sr-Cyrl-RS"/>
        </w:rPr>
        <w:t>4</w:t>
      </w:r>
      <w:r w:rsidRPr="00885CE1">
        <w:rPr>
          <w:lang w:val="sr-Latn-RS"/>
        </w:rPr>
        <w:t>0</w:t>
      </w:r>
      <w:r w:rsidRPr="00885CE1">
        <w:t xml:space="preserve">% реализованих активности, </w:t>
      </w:r>
      <w:r>
        <w:rPr>
          <w:lang w:val="sr-Cyrl-RS"/>
        </w:rPr>
        <w:t>4</w:t>
      </w:r>
      <w:r w:rsidRPr="00885CE1">
        <w:rPr>
          <w:lang w:val="sr-Latn-RS"/>
        </w:rPr>
        <w:t>0</w:t>
      </w:r>
      <w:r w:rsidRPr="00885CE1">
        <w:t xml:space="preserve">% активности у току и </w:t>
      </w:r>
      <w:r>
        <w:rPr>
          <w:lang w:val="sr-Cyrl-RS"/>
        </w:rPr>
        <w:t>2</w:t>
      </w:r>
      <w:r w:rsidRPr="00885CE1">
        <w:rPr>
          <w:lang w:val="sr-Latn-RS"/>
        </w:rPr>
        <w:t>0</w:t>
      </w:r>
      <w:r w:rsidRPr="00885CE1">
        <w:t>% активности које нису реализоване</w:t>
      </w:r>
      <w:r>
        <w:rPr>
          <w:lang w:val="sr-Cyrl-RS"/>
        </w:rPr>
        <w:t xml:space="preserve"> односно од које се одустало на планиран начин</w:t>
      </w:r>
      <w:r w:rsidR="00096EC4">
        <w:rPr>
          <w:lang w:val="sr-Cyrl-RS"/>
        </w:rPr>
        <w:t xml:space="preserve">. Поред наведеног реализовано је неколико активности чији је рок реализације предвиђен за 2026. годину, међу којима су и активности које се </w:t>
      </w:r>
      <w:r w:rsidR="00096EC4" w:rsidRPr="00A204AD">
        <w:rPr>
          <w:lang w:val="sr-Cyrl-RS"/>
        </w:rPr>
        <w:t>реализ</w:t>
      </w:r>
      <w:r w:rsidR="00096EC4">
        <w:rPr>
          <w:lang w:val="sr-Cyrl-RS"/>
        </w:rPr>
        <w:t xml:space="preserve">ују </w:t>
      </w:r>
      <w:r w:rsidR="00096EC4" w:rsidRPr="00A204AD">
        <w:rPr>
          <w:lang w:val="sr-Cyrl-RS"/>
        </w:rPr>
        <w:t xml:space="preserve"> у континуитету, као што је реализација јавних конкурса, обуке и друге активности, такође представљене у табеларном прегледу реализованих</w:t>
      </w:r>
      <w:r w:rsidR="00096EC4">
        <w:rPr>
          <w:lang w:val="sr-Cyrl-RS"/>
        </w:rPr>
        <w:t xml:space="preserve"> </w:t>
      </w:r>
      <w:r w:rsidR="00096EC4" w:rsidRPr="00A204AD">
        <w:rPr>
          <w:lang w:val="sr-Cyrl-RS"/>
        </w:rPr>
        <w:t>активности.</w:t>
      </w:r>
    </w:p>
    <w:p w14:paraId="2928CADE" w14:textId="66616617" w:rsidR="00C8054D" w:rsidRDefault="00C8054D" w:rsidP="00C8054D">
      <w:pPr>
        <w:pStyle w:val="NormalWeb"/>
        <w:jc w:val="both"/>
      </w:pPr>
      <w:r w:rsidRPr="00885CE1">
        <w:t xml:space="preserve"> </w:t>
      </w:r>
      <w:r>
        <w:t xml:space="preserve">Сви посебни циљеви и мере Стратегије за 2025. годину могу се оценити као делимично остварени. Најзначајнији напредак забележен је у оквиру Посебног циља 1 </w:t>
      </w:r>
      <w:r w:rsidR="006E2C58" w:rsidRPr="00C760AD">
        <w:t>Обезбеђење већег укључивања цивилног сектора у процес доношења одлука на свим нивоима власти</w:t>
      </w:r>
      <w:r w:rsidR="006E2C58" w:rsidDel="006E2C58">
        <w:t xml:space="preserve"> </w:t>
      </w:r>
      <w:r>
        <w:t xml:space="preserve">и Посебног циља 2 – </w:t>
      </w:r>
      <w:r w:rsidR="006E2C58">
        <w:t xml:space="preserve"> Унапређено </w:t>
      </w:r>
      <w:r>
        <w:t xml:space="preserve">транспарентно финансирање и одрживост цивилног сектора, где је </w:t>
      </w:r>
      <w:r w:rsidR="006E2C58">
        <w:t>напредак постигнут</w:t>
      </w:r>
      <w:r>
        <w:t xml:space="preserve"> на јавне расправе, подизање јавне свести и повећање транспарентности у финансирању.</w:t>
      </w:r>
    </w:p>
    <w:p w14:paraId="44AB951D" w14:textId="7A56F960" w:rsidR="00C8054D" w:rsidRDefault="00C8054D" w:rsidP="000A74F9">
      <w:pPr>
        <w:pStyle w:val="NormalWeb"/>
        <w:jc w:val="both"/>
      </w:pPr>
      <w:r>
        <w:t>На степен постигнутих резултата утицали су ограничен</w:t>
      </w:r>
      <w:r w:rsidR="006E2C58">
        <w:t xml:space="preserve">а </w:t>
      </w:r>
      <w:r>
        <w:t xml:space="preserve"> буџетск</w:t>
      </w:r>
      <w:r w:rsidR="006E2C58">
        <w:t>а средства као</w:t>
      </w:r>
      <w:r>
        <w:t xml:space="preserve"> и</w:t>
      </w:r>
      <w:r w:rsidR="006E2C58">
        <w:t xml:space="preserve"> изостанак </w:t>
      </w:r>
      <w:r w:rsidR="006E2C58" w:rsidRPr="00511CBB">
        <w:rPr>
          <w:color w:val="000000"/>
          <w:lang w:eastAsia="en-GB"/>
        </w:rPr>
        <w:t>очекиване донаторске подршке (очекивана је ЕУ ИПА подршка за спровођење Стратегије за стварање подстицајног окружења за развој цивилног друштва у Републици Србији за период 2022-2030. године</w:t>
      </w:r>
      <w:r w:rsidR="006E2C58">
        <w:rPr>
          <w:color w:val="000000"/>
          <w:lang w:eastAsia="en-GB"/>
        </w:rPr>
        <w:t>, као и подршка пројекта финансираног од стране УСАИД  за реализацију појединих активности</w:t>
      </w:r>
      <w:r w:rsidR="006E2C58" w:rsidRPr="00511CBB">
        <w:rPr>
          <w:color w:val="000000"/>
          <w:lang w:eastAsia="en-GB"/>
        </w:rPr>
        <w:t>)</w:t>
      </w:r>
      <w:r w:rsidR="00741D59">
        <w:rPr>
          <w:color w:val="000000"/>
          <w:lang w:eastAsia="en-GB"/>
        </w:rPr>
        <w:t xml:space="preserve">, </w:t>
      </w:r>
      <w:r>
        <w:t xml:space="preserve"> као и </w:t>
      </w:r>
      <w:r w:rsidR="006E2C58">
        <w:t>замрзавање дијалога од стране организација цивилног друштва</w:t>
      </w:r>
      <w:r>
        <w:t xml:space="preserve">. </w:t>
      </w:r>
    </w:p>
    <w:p w14:paraId="05844418" w14:textId="77777777" w:rsidR="00FF6EA1" w:rsidRPr="00FF6EA1" w:rsidRDefault="00FF6EA1" w:rsidP="00FF6EA1">
      <w:pPr>
        <w:widowControl/>
        <w:suppressAutoHyphens w:val="0"/>
        <w:spacing w:before="100" w:beforeAutospacing="1" w:after="240" w:line="276" w:lineRule="auto"/>
        <w:jc w:val="center"/>
        <w:rPr>
          <w:rFonts w:eastAsia="Times New Roman"/>
          <w:b/>
          <w:kern w:val="0"/>
          <w:lang w:val="sr-Cyrl-RS" w:eastAsia="sr-Cyrl-RS"/>
        </w:rPr>
      </w:pPr>
      <w:r w:rsidRPr="00FF6EA1">
        <w:rPr>
          <w:rFonts w:eastAsia="Times New Roman"/>
          <w:b/>
          <w:kern w:val="0"/>
          <w:lang w:val="sr-Cyrl-RS" w:eastAsia="sr-Cyrl-RS"/>
        </w:rPr>
        <w:t>ПРЕПОРУКЕ</w:t>
      </w:r>
    </w:p>
    <w:p w14:paraId="10CB818F" w14:textId="395C060D" w:rsidR="00C8054D" w:rsidRDefault="00C8054D" w:rsidP="009A27BA">
      <w:pPr>
        <w:pStyle w:val="NormalWeb"/>
        <w:numPr>
          <w:ilvl w:val="0"/>
          <w:numId w:val="32"/>
        </w:numPr>
        <w:jc w:val="both"/>
      </w:pPr>
      <w:r w:rsidRPr="009A27BA">
        <w:rPr>
          <w:rStyle w:val="Strong"/>
          <w:rFonts w:eastAsia="Andale Sans UI"/>
          <w:b w:val="0"/>
        </w:rPr>
        <w:t xml:space="preserve">Јачање </w:t>
      </w:r>
      <w:r w:rsidR="00357C4C" w:rsidRPr="009A27BA">
        <w:rPr>
          <w:rStyle w:val="Strong"/>
          <w:rFonts w:eastAsia="Andale Sans UI"/>
          <w:b w:val="0"/>
        </w:rPr>
        <w:t xml:space="preserve">инситуационалних механизама са сарадњу </w:t>
      </w:r>
      <w:r w:rsidRPr="009A27BA">
        <w:rPr>
          <w:rStyle w:val="Strong"/>
          <w:rFonts w:eastAsia="Andale Sans UI"/>
          <w:b w:val="0"/>
        </w:rPr>
        <w:t xml:space="preserve"> </w:t>
      </w:r>
      <w:r w:rsidR="00357C4C" w:rsidRPr="009A27BA">
        <w:rPr>
          <w:rStyle w:val="Strong"/>
          <w:rFonts w:eastAsia="Andale Sans UI"/>
          <w:b w:val="0"/>
        </w:rPr>
        <w:t>са цивилним друштвом</w:t>
      </w:r>
      <w:r>
        <w:t xml:space="preserve">– обезбедити </w:t>
      </w:r>
      <w:r w:rsidR="00357C4C">
        <w:t xml:space="preserve">наставак и континуиран рад </w:t>
      </w:r>
      <w:r>
        <w:t>Савета за стварање подстицајног окру</w:t>
      </w:r>
      <w:r w:rsidR="000A74F9">
        <w:t>жења за развој цивилног друштва,Обезбеђивање потребних финансијских средстава за реализацију активности чија реализација је била предвиђена уз донаторску подршку,</w:t>
      </w:r>
      <w:r w:rsidR="00357C4C">
        <w:t>Јачање кадровских капацитета органа јавне управе задужених за реализацију</w:t>
      </w:r>
      <w:r w:rsidR="000A74F9">
        <w:t xml:space="preserve"> предвиђених мера и активности,</w:t>
      </w:r>
    </w:p>
    <w:p w14:paraId="48721E9F" w14:textId="6DC6AD05" w:rsidR="000A74F9" w:rsidRDefault="00C8054D" w:rsidP="000A74F9">
      <w:pPr>
        <w:pStyle w:val="NormalWeb"/>
        <w:numPr>
          <w:ilvl w:val="0"/>
          <w:numId w:val="32"/>
        </w:numPr>
        <w:jc w:val="both"/>
      </w:pPr>
      <w:r w:rsidRPr="00C8054D">
        <w:rPr>
          <w:rStyle w:val="Strong"/>
          <w:rFonts w:eastAsia="Andale Sans UI"/>
          <w:b w:val="0"/>
        </w:rPr>
        <w:t xml:space="preserve">Систематско праћење и прикупљање података ради поузданије процене ефеката </w:t>
      </w:r>
      <w:r w:rsidR="000A74F9">
        <w:rPr>
          <w:rStyle w:val="Strong"/>
          <w:rFonts w:eastAsia="Andale Sans UI"/>
          <w:b w:val="0"/>
        </w:rPr>
        <w:t xml:space="preserve">спроведених активности </w:t>
      </w:r>
      <w:r w:rsidRPr="00C8054D">
        <w:rPr>
          <w:rStyle w:val="Strong"/>
          <w:rFonts w:eastAsia="Andale Sans UI"/>
          <w:b w:val="0"/>
        </w:rPr>
        <w:t>мера</w:t>
      </w:r>
      <w:r>
        <w:t xml:space="preserve"> – осигурати редовно прикупљање података о учешћу ОЦД</w:t>
      </w:r>
      <w:r w:rsidR="00357C4C">
        <w:t xml:space="preserve"> у процесу доношења</w:t>
      </w:r>
    </w:p>
    <w:p w14:paraId="431AC9B4" w14:textId="6C3F0365" w:rsidR="00357C4C" w:rsidRPr="000A74F9" w:rsidRDefault="00357C4C" w:rsidP="000A74F9">
      <w:pPr>
        <w:pStyle w:val="NormalWeb"/>
        <w:numPr>
          <w:ilvl w:val="0"/>
          <w:numId w:val="32"/>
        </w:numPr>
        <w:jc w:val="both"/>
        <w:rPr>
          <w:rStyle w:val="Strong"/>
          <w:b w:val="0"/>
          <w:bCs w:val="0"/>
        </w:rPr>
      </w:pPr>
      <w:r w:rsidRPr="000A74F9">
        <w:rPr>
          <w:rStyle w:val="Strong"/>
          <w:rFonts w:eastAsia="Andale Sans UI"/>
          <w:b w:val="0"/>
        </w:rPr>
        <w:t xml:space="preserve">Ревизија </w:t>
      </w:r>
      <w:r w:rsidR="000A74F9" w:rsidRPr="000A74F9">
        <w:rPr>
          <w:rStyle w:val="Strong"/>
          <w:rFonts w:eastAsia="Andale Sans UI"/>
          <w:b w:val="0"/>
        </w:rPr>
        <w:t xml:space="preserve">постављених </w:t>
      </w:r>
      <w:r w:rsidRPr="000A74F9">
        <w:rPr>
          <w:rStyle w:val="Strong"/>
          <w:rFonts w:eastAsia="Andale Sans UI"/>
          <w:b w:val="0"/>
        </w:rPr>
        <w:t xml:space="preserve"> индикатора како би се обезбедило редовно прикупљање релевантних података</w:t>
      </w:r>
    </w:p>
    <w:p w14:paraId="473A635E" w14:textId="5D70ED6D" w:rsidR="0072530F" w:rsidRPr="007D3820" w:rsidRDefault="00E760FD" w:rsidP="007D3820">
      <w:pPr>
        <w:widowControl/>
        <w:suppressAutoHyphens w:val="0"/>
        <w:spacing w:after="240" w:line="276" w:lineRule="auto"/>
        <w:jc w:val="both"/>
        <w:rPr>
          <w:lang w:val="sr-Cyrl-RS"/>
        </w:rPr>
      </w:pPr>
      <w:r>
        <w:t>Наведене препоруке представљају основу за даље унапређење имплементације Стратегије и могу послужити као полазиште за евентуалне измене и допуне у наредном периоду</w:t>
      </w:r>
      <w:r>
        <w:rPr>
          <w:lang w:val="sr-Cyrl-RS"/>
        </w:rPr>
        <w:t>.</w:t>
      </w:r>
    </w:p>
    <w:p w14:paraId="2602E0EC" w14:textId="77777777" w:rsidR="0072530F" w:rsidRPr="00F41CE2" w:rsidRDefault="0072530F" w:rsidP="00F41CE2">
      <w:pPr>
        <w:spacing w:after="240" w:line="276" w:lineRule="auto"/>
        <w:jc w:val="both"/>
        <w:rPr>
          <w:b/>
          <w:lang w:val="sr-Cyrl-RS"/>
        </w:rPr>
      </w:pPr>
    </w:p>
    <w:p w14:paraId="50DE895C" w14:textId="527C545F" w:rsidR="0072530F" w:rsidRPr="00F41CE2" w:rsidRDefault="0072530F" w:rsidP="00F41CE2">
      <w:pPr>
        <w:spacing w:after="240" w:line="276" w:lineRule="auto"/>
        <w:jc w:val="both"/>
        <w:rPr>
          <w:b/>
          <w:lang w:val="sr-Cyrl-RS"/>
        </w:rPr>
      </w:pPr>
      <w:bookmarkStart w:id="23" w:name="_GoBack"/>
      <w:bookmarkEnd w:id="23"/>
    </w:p>
    <w:sectPr w:rsidR="0072530F" w:rsidRPr="00F41CE2" w:rsidSect="009E3B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E2C40" w14:textId="77777777" w:rsidR="004F093C" w:rsidRDefault="004F093C" w:rsidP="00FD2050">
      <w:r>
        <w:separator/>
      </w:r>
    </w:p>
  </w:endnote>
  <w:endnote w:type="continuationSeparator" w:id="0">
    <w:p w14:paraId="1D5B2B0F" w14:textId="77777777" w:rsidR="004F093C" w:rsidRDefault="004F093C" w:rsidP="00FD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ndale Sans UI"/>
        <w:kern w:val="2"/>
        <w:lang w:eastAsia="en-US"/>
      </w:rPr>
      <w:id w:val="170842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687E5" w14:textId="77777777" w:rsidR="000E53F7" w:rsidRDefault="000E53F7" w:rsidP="0072530F">
        <w:pPr>
          <w:pStyle w:val="Textbody"/>
          <w:spacing w:after="0"/>
          <w:rPr>
            <w:sz w:val="20"/>
            <w:szCs w:val="20"/>
            <w:lang w:val="sr-Cyrl-RS"/>
          </w:rPr>
        </w:pPr>
        <w:r>
          <w:rPr>
            <w:sz w:val="20"/>
            <w:szCs w:val="20"/>
            <w:lang w:val="sr-Cyrl-RS"/>
          </w:rPr>
          <w:t>__________________________________________________________________________________________</w:t>
        </w:r>
      </w:p>
      <w:p w14:paraId="2C98034E" w14:textId="77777777" w:rsidR="000E53F7" w:rsidRPr="007C7F39" w:rsidRDefault="000E53F7" w:rsidP="0072530F">
        <w:pPr>
          <w:pStyle w:val="Textbody"/>
          <w:spacing w:after="0"/>
          <w:jc w:val="center"/>
          <w:rPr>
            <w:sz w:val="20"/>
            <w:szCs w:val="20"/>
            <w:lang w:val="sr-Cyrl-RS"/>
          </w:rPr>
        </w:pPr>
        <w:r w:rsidRPr="007C7F39">
          <w:rPr>
            <w:sz w:val="20"/>
            <w:szCs w:val="20"/>
            <w:lang w:val="sr-Cyrl-RS"/>
          </w:rPr>
          <w:t>Министарство за људска и мањинска права и друштвени дијалог</w:t>
        </w:r>
      </w:p>
      <w:p w14:paraId="5EC39A22" w14:textId="77777777" w:rsidR="000E53F7" w:rsidRPr="007C7F39" w:rsidRDefault="000E53F7" w:rsidP="0072530F">
        <w:pPr>
          <w:pStyle w:val="Textbody"/>
          <w:spacing w:after="0"/>
          <w:jc w:val="center"/>
          <w:rPr>
            <w:sz w:val="20"/>
            <w:szCs w:val="20"/>
            <w:lang w:val="sr-Cyrl-RS"/>
          </w:rPr>
        </w:pPr>
        <w:r w:rsidRPr="007C7F39">
          <w:rPr>
            <w:sz w:val="20"/>
            <w:szCs w:val="20"/>
            <w:lang w:val="sr-Cyrl-RS"/>
          </w:rPr>
          <w:t>Булевар Михаjла Пупина 2, 11000 Београд</w:t>
        </w:r>
      </w:p>
      <w:p w14:paraId="10FCF02F" w14:textId="77777777" w:rsidR="000E53F7" w:rsidRPr="0072530F" w:rsidRDefault="000E53F7" w:rsidP="0072530F">
        <w:pPr>
          <w:pStyle w:val="Textbody"/>
          <w:spacing w:after="0"/>
          <w:jc w:val="center"/>
          <w:rPr>
            <w:sz w:val="20"/>
            <w:szCs w:val="20"/>
          </w:rPr>
        </w:pPr>
        <w:r w:rsidRPr="007C7F39">
          <w:rPr>
            <w:sz w:val="20"/>
            <w:szCs w:val="20"/>
            <w:lang w:val="sr-Cyrl-RS"/>
          </w:rPr>
          <w:t>телефон: +381 (0)11 311 4528</w:t>
        </w:r>
        <w:r>
          <w:rPr>
            <w:sz w:val="20"/>
            <w:szCs w:val="20"/>
          </w:rPr>
          <w:t xml:space="preserve"> e-mail: </w:t>
        </w:r>
        <w:hyperlink r:id="rId1" w:history="1">
          <w:r w:rsidRPr="00F26930">
            <w:rPr>
              <w:rStyle w:val="Hyperlink"/>
              <w:sz w:val="20"/>
              <w:szCs w:val="20"/>
            </w:rPr>
            <w:t>kabinet@minljmpdd.gov.rs</w:t>
          </w:r>
        </w:hyperlink>
      </w:p>
      <w:p w14:paraId="5296E8C8" w14:textId="3BF8A470" w:rsidR="000E53F7" w:rsidRDefault="000E53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8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D12DB" w14:textId="77777777" w:rsidR="000E53F7" w:rsidRDefault="000E5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DC4CE" w14:textId="77777777" w:rsidR="004F093C" w:rsidRDefault="004F093C" w:rsidP="00FD2050">
      <w:r>
        <w:separator/>
      </w:r>
    </w:p>
  </w:footnote>
  <w:footnote w:type="continuationSeparator" w:id="0">
    <w:p w14:paraId="6B956E4F" w14:textId="77777777" w:rsidR="004F093C" w:rsidRDefault="004F093C" w:rsidP="00FD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6DD"/>
    <w:multiLevelType w:val="hybridMultilevel"/>
    <w:tmpl w:val="B93E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111"/>
    <w:multiLevelType w:val="hybridMultilevel"/>
    <w:tmpl w:val="4CEE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3CD2"/>
    <w:multiLevelType w:val="hybridMultilevel"/>
    <w:tmpl w:val="A2C03878"/>
    <w:lvl w:ilvl="0" w:tplc="DB028F94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336E4"/>
    <w:multiLevelType w:val="multilevel"/>
    <w:tmpl w:val="132C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B0BD1"/>
    <w:multiLevelType w:val="hybridMultilevel"/>
    <w:tmpl w:val="178EE736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0486E"/>
    <w:multiLevelType w:val="hybridMultilevel"/>
    <w:tmpl w:val="71F065A4"/>
    <w:lvl w:ilvl="0" w:tplc="F9CCBDCA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B29557A"/>
    <w:multiLevelType w:val="hybridMultilevel"/>
    <w:tmpl w:val="FB92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A4157"/>
    <w:multiLevelType w:val="hybridMultilevel"/>
    <w:tmpl w:val="B486F7DE"/>
    <w:lvl w:ilvl="0" w:tplc="82D24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B0004"/>
    <w:multiLevelType w:val="hybridMultilevel"/>
    <w:tmpl w:val="5FF241B8"/>
    <w:lvl w:ilvl="0" w:tplc="219CC80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392FCA"/>
    <w:multiLevelType w:val="multilevel"/>
    <w:tmpl w:val="2FDC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37907"/>
    <w:multiLevelType w:val="hybridMultilevel"/>
    <w:tmpl w:val="8EBC302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7F7D90"/>
    <w:multiLevelType w:val="hybridMultilevel"/>
    <w:tmpl w:val="BE40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0AE"/>
    <w:multiLevelType w:val="hybridMultilevel"/>
    <w:tmpl w:val="D7D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547EE"/>
    <w:multiLevelType w:val="hybridMultilevel"/>
    <w:tmpl w:val="53DECA7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E8D25D5"/>
    <w:multiLevelType w:val="hybridMultilevel"/>
    <w:tmpl w:val="B29A34B0"/>
    <w:lvl w:ilvl="0" w:tplc="6AF0051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51D5F"/>
    <w:multiLevelType w:val="multilevel"/>
    <w:tmpl w:val="E56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A6093"/>
    <w:multiLevelType w:val="multilevel"/>
    <w:tmpl w:val="71B2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70A7E"/>
    <w:multiLevelType w:val="hybridMultilevel"/>
    <w:tmpl w:val="606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12279"/>
    <w:multiLevelType w:val="multilevel"/>
    <w:tmpl w:val="64F0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F38A5"/>
    <w:multiLevelType w:val="multilevel"/>
    <w:tmpl w:val="8FF4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14353"/>
    <w:multiLevelType w:val="hybridMultilevel"/>
    <w:tmpl w:val="B7A4B132"/>
    <w:lvl w:ilvl="0" w:tplc="3CBAFA02"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8D95F58"/>
    <w:multiLevelType w:val="hybridMultilevel"/>
    <w:tmpl w:val="201AF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3658D"/>
    <w:multiLevelType w:val="hybridMultilevel"/>
    <w:tmpl w:val="5FBA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72F99"/>
    <w:multiLevelType w:val="hybridMultilevel"/>
    <w:tmpl w:val="92EC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5D35"/>
    <w:multiLevelType w:val="hybridMultilevel"/>
    <w:tmpl w:val="1F12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32DAF"/>
    <w:multiLevelType w:val="multilevel"/>
    <w:tmpl w:val="813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F6535"/>
    <w:multiLevelType w:val="hybridMultilevel"/>
    <w:tmpl w:val="51D4BFF0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179C3"/>
    <w:multiLevelType w:val="multilevel"/>
    <w:tmpl w:val="249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359A3"/>
    <w:multiLevelType w:val="hybridMultilevel"/>
    <w:tmpl w:val="FAD6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F1D2E"/>
    <w:multiLevelType w:val="hybridMultilevel"/>
    <w:tmpl w:val="56FC9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62131"/>
    <w:multiLevelType w:val="hybridMultilevel"/>
    <w:tmpl w:val="6B7874B6"/>
    <w:lvl w:ilvl="0" w:tplc="A3EE84C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6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24"/>
  </w:num>
  <w:num w:numId="10">
    <w:abstractNumId w:val="29"/>
  </w:num>
  <w:num w:numId="11">
    <w:abstractNumId w:val="21"/>
  </w:num>
  <w:num w:numId="12">
    <w:abstractNumId w:val="14"/>
  </w:num>
  <w:num w:numId="13">
    <w:abstractNumId w:val="10"/>
  </w:num>
  <w:num w:numId="14">
    <w:abstractNumId w:val="30"/>
  </w:num>
  <w:num w:numId="15">
    <w:abstractNumId w:val="11"/>
  </w:num>
  <w:num w:numId="16">
    <w:abstractNumId w:val="15"/>
  </w:num>
  <w:num w:numId="17">
    <w:abstractNumId w:val="25"/>
  </w:num>
  <w:num w:numId="18">
    <w:abstractNumId w:val="19"/>
  </w:num>
  <w:num w:numId="19">
    <w:abstractNumId w:val="3"/>
  </w:num>
  <w:num w:numId="20">
    <w:abstractNumId w:val="27"/>
  </w:num>
  <w:num w:numId="21">
    <w:abstractNumId w:val="16"/>
  </w:num>
  <w:num w:numId="22">
    <w:abstractNumId w:val="9"/>
  </w:num>
  <w:num w:numId="23">
    <w:abstractNumId w:val="18"/>
  </w:num>
  <w:num w:numId="24">
    <w:abstractNumId w:val="7"/>
  </w:num>
  <w:num w:numId="25">
    <w:abstractNumId w:val="22"/>
  </w:num>
  <w:num w:numId="26">
    <w:abstractNumId w:val="1"/>
  </w:num>
  <w:num w:numId="27">
    <w:abstractNumId w:val="13"/>
  </w:num>
  <w:num w:numId="28">
    <w:abstractNumId w:val="6"/>
  </w:num>
  <w:num w:numId="29">
    <w:abstractNumId w:val="23"/>
  </w:num>
  <w:num w:numId="30">
    <w:abstractNumId w:val="0"/>
  </w:num>
  <w:num w:numId="31">
    <w:abstractNumId w:val="1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CA"/>
    <w:rsid w:val="000013C2"/>
    <w:rsid w:val="00007D0A"/>
    <w:rsid w:val="000106C5"/>
    <w:rsid w:val="00010D2F"/>
    <w:rsid w:val="0001217E"/>
    <w:rsid w:val="0001242E"/>
    <w:rsid w:val="00016E07"/>
    <w:rsid w:val="00025980"/>
    <w:rsid w:val="00030336"/>
    <w:rsid w:val="00031977"/>
    <w:rsid w:val="000331B3"/>
    <w:rsid w:val="00033689"/>
    <w:rsid w:val="00034F32"/>
    <w:rsid w:val="00037BE3"/>
    <w:rsid w:val="00046510"/>
    <w:rsid w:val="00047053"/>
    <w:rsid w:val="00047763"/>
    <w:rsid w:val="00047B8D"/>
    <w:rsid w:val="00055A54"/>
    <w:rsid w:val="00061297"/>
    <w:rsid w:val="00064B21"/>
    <w:rsid w:val="000710CB"/>
    <w:rsid w:val="00073286"/>
    <w:rsid w:val="000801C5"/>
    <w:rsid w:val="00081AEB"/>
    <w:rsid w:val="00082F33"/>
    <w:rsid w:val="00083FCC"/>
    <w:rsid w:val="00090D96"/>
    <w:rsid w:val="00096BC4"/>
    <w:rsid w:val="00096EC4"/>
    <w:rsid w:val="000A0F47"/>
    <w:rsid w:val="000A1180"/>
    <w:rsid w:val="000A267C"/>
    <w:rsid w:val="000A74F9"/>
    <w:rsid w:val="000B49E2"/>
    <w:rsid w:val="000B5FF1"/>
    <w:rsid w:val="000C0ACA"/>
    <w:rsid w:val="000C2E31"/>
    <w:rsid w:val="000C3AC5"/>
    <w:rsid w:val="000C6937"/>
    <w:rsid w:val="000D755D"/>
    <w:rsid w:val="000D7575"/>
    <w:rsid w:val="000E0B4F"/>
    <w:rsid w:val="000E2E0F"/>
    <w:rsid w:val="000E53F7"/>
    <w:rsid w:val="000E5781"/>
    <w:rsid w:val="000E79A3"/>
    <w:rsid w:val="000F021E"/>
    <w:rsid w:val="000F1C80"/>
    <w:rsid w:val="0010123B"/>
    <w:rsid w:val="001022F0"/>
    <w:rsid w:val="001025B7"/>
    <w:rsid w:val="00103D21"/>
    <w:rsid w:val="001070EB"/>
    <w:rsid w:val="00112835"/>
    <w:rsid w:val="00121371"/>
    <w:rsid w:val="00121C46"/>
    <w:rsid w:val="001248FF"/>
    <w:rsid w:val="00124F65"/>
    <w:rsid w:val="001270F3"/>
    <w:rsid w:val="0014684E"/>
    <w:rsid w:val="00154EAF"/>
    <w:rsid w:val="00160BF9"/>
    <w:rsid w:val="00162C21"/>
    <w:rsid w:val="00165E50"/>
    <w:rsid w:val="00171032"/>
    <w:rsid w:val="0017595E"/>
    <w:rsid w:val="00180528"/>
    <w:rsid w:val="00182DEE"/>
    <w:rsid w:val="0018420D"/>
    <w:rsid w:val="00195DCD"/>
    <w:rsid w:val="001A3D31"/>
    <w:rsid w:val="001A4F3A"/>
    <w:rsid w:val="001B13ED"/>
    <w:rsid w:val="001B7694"/>
    <w:rsid w:val="001C44FC"/>
    <w:rsid w:val="001C4E54"/>
    <w:rsid w:val="001D0E5F"/>
    <w:rsid w:val="001D1359"/>
    <w:rsid w:val="001E5DEC"/>
    <w:rsid w:val="001E60C9"/>
    <w:rsid w:val="001F5EB3"/>
    <w:rsid w:val="002109A0"/>
    <w:rsid w:val="00216B99"/>
    <w:rsid w:val="00217A72"/>
    <w:rsid w:val="00217D88"/>
    <w:rsid w:val="002201D4"/>
    <w:rsid w:val="0022329C"/>
    <w:rsid w:val="00231643"/>
    <w:rsid w:val="00233F77"/>
    <w:rsid w:val="00234ADB"/>
    <w:rsid w:val="00234D98"/>
    <w:rsid w:val="00235294"/>
    <w:rsid w:val="00235297"/>
    <w:rsid w:val="00236C5E"/>
    <w:rsid w:val="002414B2"/>
    <w:rsid w:val="00243143"/>
    <w:rsid w:val="00246AF5"/>
    <w:rsid w:val="00253D5C"/>
    <w:rsid w:val="0025718B"/>
    <w:rsid w:val="00266488"/>
    <w:rsid w:val="0027168A"/>
    <w:rsid w:val="00276620"/>
    <w:rsid w:val="0028214E"/>
    <w:rsid w:val="002825D7"/>
    <w:rsid w:val="00285E88"/>
    <w:rsid w:val="00290E94"/>
    <w:rsid w:val="00292667"/>
    <w:rsid w:val="00297C2D"/>
    <w:rsid w:val="002A5688"/>
    <w:rsid w:val="002A6F06"/>
    <w:rsid w:val="002B047D"/>
    <w:rsid w:val="002B0E92"/>
    <w:rsid w:val="002B6129"/>
    <w:rsid w:val="002C2633"/>
    <w:rsid w:val="002D5C1E"/>
    <w:rsid w:val="002D63F3"/>
    <w:rsid w:val="002D789B"/>
    <w:rsid w:val="002E18E2"/>
    <w:rsid w:val="002E6E71"/>
    <w:rsid w:val="002E7BCD"/>
    <w:rsid w:val="002F7C93"/>
    <w:rsid w:val="00302ED7"/>
    <w:rsid w:val="003078A4"/>
    <w:rsid w:val="00310CCF"/>
    <w:rsid w:val="003160B3"/>
    <w:rsid w:val="003201D0"/>
    <w:rsid w:val="003209F7"/>
    <w:rsid w:val="003251AC"/>
    <w:rsid w:val="00330E5A"/>
    <w:rsid w:val="003329A7"/>
    <w:rsid w:val="003330E1"/>
    <w:rsid w:val="003346DB"/>
    <w:rsid w:val="00341A0C"/>
    <w:rsid w:val="00341BA4"/>
    <w:rsid w:val="00344157"/>
    <w:rsid w:val="0034621B"/>
    <w:rsid w:val="00350453"/>
    <w:rsid w:val="00357C4C"/>
    <w:rsid w:val="00361989"/>
    <w:rsid w:val="00363019"/>
    <w:rsid w:val="00364900"/>
    <w:rsid w:val="003700F5"/>
    <w:rsid w:val="0037282D"/>
    <w:rsid w:val="0037295C"/>
    <w:rsid w:val="0037516A"/>
    <w:rsid w:val="00381C3F"/>
    <w:rsid w:val="00385EEE"/>
    <w:rsid w:val="00386F87"/>
    <w:rsid w:val="00390355"/>
    <w:rsid w:val="00390B06"/>
    <w:rsid w:val="0039324A"/>
    <w:rsid w:val="003A3279"/>
    <w:rsid w:val="003A40B0"/>
    <w:rsid w:val="003B4259"/>
    <w:rsid w:val="003B7D79"/>
    <w:rsid w:val="003C055E"/>
    <w:rsid w:val="003C63A8"/>
    <w:rsid w:val="003D0532"/>
    <w:rsid w:val="003D3483"/>
    <w:rsid w:val="003E18C5"/>
    <w:rsid w:val="003E387C"/>
    <w:rsid w:val="003E5217"/>
    <w:rsid w:val="003E7554"/>
    <w:rsid w:val="003F2126"/>
    <w:rsid w:val="003F2580"/>
    <w:rsid w:val="003F6FDA"/>
    <w:rsid w:val="003F7953"/>
    <w:rsid w:val="00401C14"/>
    <w:rsid w:val="00406787"/>
    <w:rsid w:val="00415CE1"/>
    <w:rsid w:val="00417B0F"/>
    <w:rsid w:val="004233A8"/>
    <w:rsid w:val="00426C7D"/>
    <w:rsid w:val="00445676"/>
    <w:rsid w:val="004470CC"/>
    <w:rsid w:val="0045311D"/>
    <w:rsid w:val="00480550"/>
    <w:rsid w:val="0048238B"/>
    <w:rsid w:val="00496933"/>
    <w:rsid w:val="00497A9F"/>
    <w:rsid w:val="00497C22"/>
    <w:rsid w:val="004A6886"/>
    <w:rsid w:val="004B2B12"/>
    <w:rsid w:val="004C05F6"/>
    <w:rsid w:val="004C11E7"/>
    <w:rsid w:val="004C4697"/>
    <w:rsid w:val="004C5DCE"/>
    <w:rsid w:val="004D037C"/>
    <w:rsid w:val="004D0CC1"/>
    <w:rsid w:val="004D2F60"/>
    <w:rsid w:val="004D38B1"/>
    <w:rsid w:val="004D6240"/>
    <w:rsid w:val="004E254E"/>
    <w:rsid w:val="004E4885"/>
    <w:rsid w:val="004E4D2A"/>
    <w:rsid w:val="004F093C"/>
    <w:rsid w:val="004F5F70"/>
    <w:rsid w:val="00500CF7"/>
    <w:rsid w:val="00501541"/>
    <w:rsid w:val="00501675"/>
    <w:rsid w:val="00503634"/>
    <w:rsid w:val="0050590F"/>
    <w:rsid w:val="00505D02"/>
    <w:rsid w:val="005067F4"/>
    <w:rsid w:val="0051287A"/>
    <w:rsid w:val="005143EA"/>
    <w:rsid w:val="0051481D"/>
    <w:rsid w:val="00517AC1"/>
    <w:rsid w:val="0052201C"/>
    <w:rsid w:val="00527CE1"/>
    <w:rsid w:val="00527E62"/>
    <w:rsid w:val="00532E45"/>
    <w:rsid w:val="005338CD"/>
    <w:rsid w:val="00534C3F"/>
    <w:rsid w:val="0054541E"/>
    <w:rsid w:val="00547C8A"/>
    <w:rsid w:val="00550916"/>
    <w:rsid w:val="00554231"/>
    <w:rsid w:val="005546F2"/>
    <w:rsid w:val="00554899"/>
    <w:rsid w:val="00556879"/>
    <w:rsid w:val="005666D7"/>
    <w:rsid w:val="00567A8A"/>
    <w:rsid w:val="00570BD4"/>
    <w:rsid w:val="00573724"/>
    <w:rsid w:val="00593CBA"/>
    <w:rsid w:val="005A0C0A"/>
    <w:rsid w:val="005A462D"/>
    <w:rsid w:val="005B1AAF"/>
    <w:rsid w:val="005B4A4A"/>
    <w:rsid w:val="005C0E23"/>
    <w:rsid w:val="005C12E8"/>
    <w:rsid w:val="005D642F"/>
    <w:rsid w:val="005E430F"/>
    <w:rsid w:val="005E4CE7"/>
    <w:rsid w:val="005E629E"/>
    <w:rsid w:val="005F13A1"/>
    <w:rsid w:val="005F2018"/>
    <w:rsid w:val="005F2579"/>
    <w:rsid w:val="005F29CB"/>
    <w:rsid w:val="00602599"/>
    <w:rsid w:val="00604A94"/>
    <w:rsid w:val="00613072"/>
    <w:rsid w:val="00623436"/>
    <w:rsid w:val="0062398F"/>
    <w:rsid w:val="00625314"/>
    <w:rsid w:val="00642B10"/>
    <w:rsid w:val="006456BE"/>
    <w:rsid w:val="00654BDF"/>
    <w:rsid w:val="00664C19"/>
    <w:rsid w:val="00664DDA"/>
    <w:rsid w:val="0066621A"/>
    <w:rsid w:val="00671429"/>
    <w:rsid w:val="00673ED5"/>
    <w:rsid w:val="00674F73"/>
    <w:rsid w:val="00682314"/>
    <w:rsid w:val="00693266"/>
    <w:rsid w:val="00693419"/>
    <w:rsid w:val="00697AE5"/>
    <w:rsid w:val="006A7250"/>
    <w:rsid w:val="006B0D38"/>
    <w:rsid w:val="006B2A92"/>
    <w:rsid w:val="006C3254"/>
    <w:rsid w:val="006C42D3"/>
    <w:rsid w:val="006C4400"/>
    <w:rsid w:val="006D0E0E"/>
    <w:rsid w:val="006D3E3D"/>
    <w:rsid w:val="006D5B81"/>
    <w:rsid w:val="006E2C58"/>
    <w:rsid w:val="006E3F89"/>
    <w:rsid w:val="006E621E"/>
    <w:rsid w:val="00702A8C"/>
    <w:rsid w:val="00702E5E"/>
    <w:rsid w:val="00704F52"/>
    <w:rsid w:val="007156D4"/>
    <w:rsid w:val="007163DE"/>
    <w:rsid w:val="00722AA4"/>
    <w:rsid w:val="00723E41"/>
    <w:rsid w:val="0072530F"/>
    <w:rsid w:val="00726DF0"/>
    <w:rsid w:val="00734805"/>
    <w:rsid w:val="007366C5"/>
    <w:rsid w:val="00740D54"/>
    <w:rsid w:val="00741D59"/>
    <w:rsid w:val="00743148"/>
    <w:rsid w:val="0074384E"/>
    <w:rsid w:val="00751642"/>
    <w:rsid w:val="00755847"/>
    <w:rsid w:val="0075639F"/>
    <w:rsid w:val="00760AC9"/>
    <w:rsid w:val="0076478F"/>
    <w:rsid w:val="0076737C"/>
    <w:rsid w:val="00773ADA"/>
    <w:rsid w:val="00781309"/>
    <w:rsid w:val="00783D3E"/>
    <w:rsid w:val="00786EF1"/>
    <w:rsid w:val="00790862"/>
    <w:rsid w:val="00792EC0"/>
    <w:rsid w:val="00796784"/>
    <w:rsid w:val="007970BF"/>
    <w:rsid w:val="007A52AA"/>
    <w:rsid w:val="007A7F7A"/>
    <w:rsid w:val="007B26A2"/>
    <w:rsid w:val="007B2B28"/>
    <w:rsid w:val="007B2B37"/>
    <w:rsid w:val="007B4E72"/>
    <w:rsid w:val="007C21D5"/>
    <w:rsid w:val="007C6066"/>
    <w:rsid w:val="007C7F39"/>
    <w:rsid w:val="007D3820"/>
    <w:rsid w:val="007D43B5"/>
    <w:rsid w:val="007D4FBA"/>
    <w:rsid w:val="007E247E"/>
    <w:rsid w:val="007F2ABD"/>
    <w:rsid w:val="00804C19"/>
    <w:rsid w:val="00806F51"/>
    <w:rsid w:val="00810D79"/>
    <w:rsid w:val="0081748D"/>
    <w:rsid w:val="00825C8E"/>
    <w:rsid w:val="00827D10"/>
    <w:rsid w:val="00847EFD"/>
    <w:rsid w:val="0086305C"/>
    <w:rsid w:val="008667FE"/>
    <w:rsid w:val="008679EF"/>
    <w:rsid w:val="00871FE4"/>
    <w:rsid w:val="00874759"/>
    <w:rsid w:val="00880222"/>
    <w:rsid w:val="00880AD7"/>
    <w:rsid w:val="008821E0"/>
    <w:rsid w:val="00883091"/>
    <w:rsid w:val="00884753"/>
    <w:rsid w:val="00885CE1"/>
    <w:rsid w:val="008955F4"/>
    <w:rsid w:val="008A1216"/>
    <w:rsid w:val="008A32DD"/>
    <w:rsid w:val="008A3651"/>
    <w:rsid w:val="008B5C7D"/>
    <w:rsid w:val="008C0A4F"/>
    <w:rsid w:val="008C79FE"/>
    <w:rsid w:val="008E1651"/>
    <w:rsid w:val="008E325C"/>
    <w:rsid w:val="008E3F98"/>
    <w:rsid w:val="008E6108"/>
    <w:rsid w:val="008F05DD"/>
    <w:rsid w:val="008F7C06"/>
    <w:rsid w:val="008F7E99"/>
    <w:rsid w:val="008F7FC0"/>
    <w:rsid w:val="00911A6E"/>
    <w:rsid w:val="00913088"/>
    <w:rsid w:val="0092420F"/>
    <w:rsid w:val="00930B28"/>
    <w:rsid w:val="00933525"/>
    <w:rsid w:val="00943E32"/>
    <w:rsid w:val="00945995"/>
    <w:rsid w:val="0095373E"/>
    <w:rsid w:val="00963B11"/>
    <w:rsid w:val="00967F5B"/>
    <w:rsid w:val="0097249F"/>
    <w:rsid w:val="00982CD1"/>
    <w:rsid w:val="00990713"/>
    <w:rsid w:val="009931F8"/>
    <w:rsid w:val="00994EF3"/>
    <w:rsid w:val="009962DA"/>
    <w:rsid w:val="009A0084"/>
    <w:rsid w:val="009A18EE"/>
    <w:rsid w:val="009A2300"/>
    <w:rsid w:val="009A27BA"/>
    <w:rsid w:val="009B01B8"/>
    <w:rsid w:val="009B48AC"/>
    <w:rsid w:val="009B63CF"/>
    <w:rsid w:val="009C4015"/>
    <w:rsid w:val="009D166E"/>
    <w:rsid w:val="009D38AA"/>
    <w:rsid w:val="009D5A8B"/>
    <w:rsid w:val="009D64C8"/>
    <w:rsid w:val="009D75E3"/>
    <w:rsid w:val="009E0D4F"/>
    <w:rsid w:val="009E2094"/>
    <w:rsid w:val="009E3B3D"/>
    <w:rsid w:val="009E3C46"/>
    <w:rsid w:val="009E3EA2"/>
    <w:rsid w:val="009F0D0C"/>
    <w:rsid w:val="009F398E"/>
    <w:rsid w:val="009F6846"/>
    <w:rsid w:val="00A006A0"/>
    <w:rsid w:val="00A06F71"/>
    <w:rsid w:val="00A071BF"/>
    <w:rsid w:val="00A1130F"/>
    <w:rsid w:val="00A204AD"/>
    <w:rsid w:val="00A31040"/>
    <w:rsid w:val="00A310F5"/>
    <w:rsid w:val="00A34D52"/>
    <w:rsid w:val="00A353BB"/>
    <w:rsid w:val="00A363E2"/>
    <w:rsid w:val="00A44965"/>
    <w:rsid w:val="00A45A51"/>
    <w:rsid w:val="00A516F5"/>
    <w:rsid w:val="00A54C73"/>
    <w:rsid w:val="00A5703F"/>
    <w:rsid w:val="00A57351"/>
    <w:rsid w:val="00A60163"/>
    <w:rsid w:val="00A63DBD"/>
    <w:rsid w:val="00A73C85"/>
    <w:rsid w:val="00A80D75"/>
    <w:rsid w:val="00A830F2"/>
    <w:rsid w:val="00A86FD9"/>
    <w:rsid w:val="00A90850"/>
    <w:rsid w:val="00A95940"/>
    <w:rsid w:val="00AB1DA4"/>
    <w:rsid w:val="00AB3372"/>
    <w:rsid w:val="00AB61C6"/>
    <w:rsid w:val="00AB7DC9"/>
    <w:rsid w:val="00AC4B4D"/>
    <w:rsid w:val="00AC4EF7"/>
    <w:rsid w:val="00AF626C"/>
    <w:rsid w:val="00B07D33"/>
    <w:rsid w:val="00B14EDC"/>
    <w:rsid w:val="00B1563A"/>
    <w:rsid w:val="00B209BB"/>
    <w:rsid w:val="00B24AE2"/>
    <w:rsid w:val="00B31323"/>
    <w:rsid w:val="00B41B65"/>
    <w:rsid w:val="00B5404E"/>
    <w:rsid w:val="00B55A1A"/>
    <w:rsid w:val="00B624ED"/>
    <w:rsid w:val="00B717EE"/>
    <w:rsid w:val="00B72B5F"/>
    <w:rsid w:val="00B74717"/>
    <w:rsid w:val="00B83C6E"/>
    <w:rsid w:val="00B84714"/>
    <w:rsid w:val="00B865CB"/>
    <w:rsid w:val="00B905D0"/>
    <w:rsid w:val="00B91071"/>
    <w:rsid w:val="00B93FE0"/>
    <w:rsid w:val="00B9449F"/>
    <w:rsid w:val="00B94E38"/>
    <w:rsid w:val="00B95C3E"/>
    <w:rsid w:val="00BA50BA"/>
    <w:rsid w:val="00BA56E0"/>
    <w:rsid w:val="00BA5ADB"/>
    <w:rsid w:val="00BB791A"/>
    <w:rsid w:val="00BC13C3"/>
    <w:rsid w:val="00BC366D"/>
    <w:rsid w:val="00BE4BE9"/>
    <w:rsid w:val="00BF16BF"/>
    <w:rsid w:val="00C0016F"/>
    <w:rsid w:val="00C06307"/>
    <w:rsid w:val="00C14194"/>
    <w:rsid w:val="00C15610"/>
    <w:rsid w:val="00C167D1"/>
    <w:rsid w:val="00C22317"/>
    <w:rsid w:val="00C22F5B"/>
    <w:rsid w:val="00C23256"/>
    <w:rsid w:val="00C3130E"/>
    <w:rsid w:val="00C33809"/>
    <w:rsid w:val="00C40A7B"/>
    <w:rsid w:val="00C42BEE"/>
    <w:rsid w:val="00C456B8"/>
    <w:rsid w:val="00C52E9D"/>
    <w:rsid w:val="00C617E4"/>
    <w:rsid w:val="00C61B6B"/>
    <w:rsid w:val="00C62AE5"/>
    <w:rsid w:val="00C64D32"/>
    <w:rsid w:val="00C66EF9"/>
    <w:rsid w:val="00C73B3F"/>
    <w:rsid w:val="00C743ED"/>
    <w:rsid w:val="00C743FB"/>
    <w:rsid w:val="00C760AD"/>
    <w:rsid w:val="00C7652F"/>
    <w:rsid w:val="00C8054D"/>
    <w:rsid w:val="00C850A8"/>
    <w:rsid w:val="00C91AE0"/>
    <w:rsid w:val="00CA368D"/>
    <w:rsid w:val="00CC273B"/>
    <w:rsid w:val="00CC6905"/>
    <w:rsid w:val="00CD330F"/>
    <w:rsid w:val="00CD3390"/>
    <w:rsid w:val="00CE6572"/>
    <w:rsid w:val="00CF042F"/>
    <w:rsid w:val="00CF1A2A"/>
    <w:rsid w:val="00CF1E08"/>
    <w:rsid w:val="00CF4C0E"/>
    <w:rsid w:val="00CF6207"/>
    <w:rsid w:val="00D0002F"/>
    <w:rsid w:val="00D032D7"/>
    <w:rsid w:val="00D0332A"/>
    <w:rsid w:val="00D03AA8"/>
    <w:rsid w:val="00D043D9"/>
    <w:rsid w:val="00D0634B"/>
    <w:rsid w:val="00D07ED9"/>
    <w:rsid w:val="00D341EC"/>
    <w:rsid w:val="00D37A63"/>
    <w:rsid w:val="00D42CEC"/>
    <w:rsid w:val="00D463DC"/>
    <w:rsid w:val="00D5256E"/>
    <w:rsid w:val="00D644DB"/>
    <w:rsid w:val="00D66B98"/>
    <w:rsid w:val="00D66E2B"/>
    <w:rsid w:val="00D707F9"/>
    <w:rsid w:val="00D7554E"/>
    <w:rsid w:val="00D757A0"/>
    <w:rsid w:val="00D83A09"/>
    <w:rsid w:val="00D848AD"/>
    <w:rsid w:val="00D86288"/>
    <w:rsid w:val="00D92310"/>
    <w:rsid w:val="00DA77F2"/>
    <w:rsid w:val="00DB2414"/>
    <w:rsid w:val="00DB2470"/>
    <w:rsid w:val="00DB59D7"/>
    <w:rsid w:val="00DB6055"/>
    <w:rsid w:val="00DC0A89"/>
    <w:rsid w:val="00DC1D9F"/>
    <w:rsid w:val="00DD081C"/>
    <w:rsid w:val="00DD0A76"/>
    <w:rsid w:val="00DD1E23"/>
    <w:rsid w:val="00DD6761"/>
    <w:rsid w:val="00DD6B6D"/>
    <w:rsid w:val="00DD778A"/>
    <w:rsid w:val="00DE599F"/>
    <w:rsid w:val="00DF64FA"/>
    <w:rsid w:val="00DF6D7E"/>
    <w:rsid w:val="00E00B7A"/>
    <w:rsid w:val="00E023D1"/>
    <w:rsid w:val="00E03104"/>
    <w:rsid w:val="00E0483D"/>
    <w:rsid w:val="00E05C87"/>
    <w:rsid w:val="00E13E08"/>
    <w:rsid w:val="00E152FA"/>
    <w:rsid w:val="00E15492"/>
    <w:rsid w:val="00E32B05"/>
    <w:rsid w:val="00E32DF8"/>
    <w:rsid w:val="00E37738"/>
    <w:rsid w:val="00E44A79"/>
    <w:rsid w:val="00E44D73"/>
    <w:rsid w:val="00E525CB"/>
    <w:rsid w:val="00E529B0"/>
    <w:rsid w:val="00E52E45"/>
    <w:rsid w:val="00E66123"/>
    <w:rsid w:val="00E760FD"/>
    <w:rsid w:val="00E84C80"/>
    <w:rsid w:val="00E84DB8"/>
    <w:rsid w:val="00E87B73"/>
    <w:rsid w:val="00EA04CE"/>
    <w:rsid w:val="00EA6EB0"/>
    <w:rsid w:val="00EB16B0"/>
    <w:rsid w:val="00EC21A3"/>
    <w:rsid w:val="00ED0BDD"/>
    <w:rsid w:val="00ED39A1"/>
    <w:rsid w:val="00EE22A6"/>
    <w:rsid w:val="00EE27D6"/>
    <w:rsid w:val="00EE6C4C"/>
    <w:rsid w:val="00F015F3"/>
    <w:rsid w:val="00F03EFB"/>
    <w:rsid w:val="00F06DC7"/>
    <w:rsid w:val="00F0700A"/>
    <w:rsid w:val="00F07055"/>
    <w:rsid w:val="00F1259C"/>
    <w:rsid w:val="00F15079"/>
    <w:rsid w:val="00F15BD6"/>
    <w:rsid w:val="00F16FD6"/>
    <w:rsid w:val="00F262DD"/>
    <w:rsid w:val="00F311D9"/>
    <w:rsid w:val="00F34127"/>
    <w:rsid w:val="00F3503D"/>
    <w:rsid w:val="00F41CE2"/>
    <w:rsid w:val="00F53328"/>
    <w:rsid w:val="00F53453"/>
    <w:rsid w:val="00F606CA"/>
    <w:rsid w:val="00F7024E"/>
    <w:rsid w:val="00F702A7"/>
    <w:rsid w:val="00F81279"/>
    <w:rsid w:val="00F8207C"/>
    <w:rsid w:val="00F82F9B"/>
    <w:rsid w:val="00F8476B"/>
    <w:rsid w:val="00F85C1B"/>
    <w:rsid w:val="00F911EC"/>
    <w:rsid w:val="00FA10DB"/>
    <w:rsid w:val="00FA1167"/>
    <w:rsid w:val="00FB1359"/>
    <w:rsid w:val="00FC5288"/>
    <w:rsid w:val="00FD1B15"/>
    <w:rsid w:val="00FD2050"/>
    <w:rsid w:val="00FD525F"/>
    <w:rsid w:val="00FD6B25"/>
    <w:rsid w:val="00FE1170"/>
    <w:rsid w:val="00FE7110"/>
    <w:rsid w:val="00FF13F0"/>
    <w:rsid w:val="00FF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3B22A"/>
  <w15:docId w15:val="{0FDDE801-F7C3-4D2A-924A-B986FCB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580"/>
    <w:pPr>
      <w:keepNext/>
      <w:keepLines/>
      <w:widowControl/>
      <w:suppressAutoHyphens w:val="0"/>
      <w:spacing w:before="360" w:after="340" w:line="360" w:lineRule="auto"/>
      <w:outlineLvl w:val="0"/>
    </w:pPr>
    <w:rPr>
      <w:rFonts w:eastAsiaTheme="majorEastAsia" w:cstheme="majorBidi"/>
      <w:b/>
      <w:bCs/>
      <w:kern w:val="0"/>
      <w:sz w:val="28"/>
      <w:szCs w:val="28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C22317"/>
    <w:pPr>
      <w:ind w:right="4713"/>
      <w:jc w:val="center"/>
    </w:pPr>
    <w:rPr>
      <w:rFonts w:ascii="Arial" w:hAnsi="Arial" w:cs="Arial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17"/>
    <w:rPr>
      <w:rFonts w:ascii="Tahoma" w:eastAsia="Andale Sans UI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6E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E2B"/>
    <w:rPr>
      <w:rFonts w:ascii="Times New Roman" w:eastAsia="Andale Sans UI" w:hAnsi="Times New Roman" w:cs="Times New Roman"/>
      <w:kern w:val="2"/>
      <w:sz w:val="20"/>
      <w:szCs w:val="20"/>
    </w:rPr>
  </w:style>
  <w:style w:type="character" w:styleId="FootnoteReference">
    <w:name w:val="footnote reference"/>
    <w:aliases w:val="ftref,BVI fnr,16 Point,Superscript 6 Point,Footnote Reference Number,ftref Char,BVI fnr Char,Footnotes refss,nota pié di pagina,Times 10 Point,Exposant 3 Point,Footnote symbol,Footnote reference number,EN Footnote Reference,note TESI"/>
    <w:basedOn w:val="DefaultParagraphFont"/>
    <w:link w:val="Ref"/>
    <w:uiPriority w:val="99"/>
    <w:unhideWhenUsed/>
    <w:qFormat/>
    <w:rsid w:val="00D66E2B"/>
    <w:rPr>
      <w:vertAlign w:val="superscript"/>
    </w:rPr>
  </w:style>
  <w:style w:type="paragraph" w:styleId="NoSpacing">
    <w:name w:val="No Spacing"/>
    <w:uiPriority w:val="1"/>
    <w:qFormat/>
    <w:rsid w:val="008F7E9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01D0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25718B"/>
    <w:pPr>
      <w:widowControl/>
      <w:autoSpaceDN w:val="0"/>
      <w:spacing w:after="120"/>
      <w:textAlignment w:val="baseline"/>
    </w:pPr>
    <w:rPr>
      <w:rFonts w:eastAsia="Times New Roman"/>
      <w:kern w:val="3"/>
      <w:lang w:eastAsia="ar-SA"/>
    </w:rPr>
  </w:style>
  <w:style w:type="paragraph" w:styleId="NormalWeb">
    <w:name w:val="Normal (Web)"/>
    <w:basedOn w:val="Normal"/>
    <w:uiPriority w:val="99"/>
    <w:unhideWhenUsed/>
    <w:rsid w:val="00D0634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  <w:style w:type="character" w:styleId="Strong">
    <w:name w:val="Strong"/>
    <w:basedOn w:val="DefaultParagraphFont"/>
    <w:uiPriority w:val="22"/>
    <w:qFormat/>
    <w:rsid w:val="00505D0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F2580"/>
    <w:rPr>
      <w:rFonts w:ascii="Times New Roman" w:eastAsiaTheme="majorEastAsia" w:hAnsi="Times New Roman" w:cstheme="majorBidi"/>
      <w:b/>
      <w:bCs/>
      <w:sz w:val="28"/>
      <w:szCs w:val="28"/>
      <w:lang w:val="sr-Cyrl-RS"/>
    </w:rPr>
  </w:style>
  <w:style w:type="table" w:styleId="TableGrid">
    <w:name w:val="Table Grid"/>
    <w:basedOn w:val="TableNormal"/>
    <w:uiPriority w:val="39"/>
    <w:rsid w:val="00A310F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-paragraph">
    <w:name w:val="basic-paragraph"/>
    <w:basedOn w:val="Normal"/>
    <w:rsid w:val="00A310F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  <w:style w:type="paragraph" w:customStyle="1" w:styleId="Ref">
    <w:name w:val="Ref"/>
    <w:aliases w:val="Footnotes refs"/>
    <w:basedOn w:val="Normal"/>
    <w:link w:val="FootnoteReference"/>
    <w:uiPriority w:val="99"/>
    <w:qFormat/>
    <w:rsid w:val="003346DB"/>
    <w:pPr>
      <w:widowControl/>
      <w:autoSpaceDN w:val="0"/>
      <w:spacing w:before="120" w:after="60" w:line="240" w:lineRule="exact"/>
      <w:ind w:firstLine="357"/>
      <w:jc w:val="both"/>
      <w:textAlignment w:val="baseline"/>
    </w:pPr>
    <w:rPr>
      <w:rFonts w:asciiTheme="minorHAnsi" w:eastAsiaTheme="minorHAnsi" w:hAnsiTheme="minorHAnsi" w:cstheme="minorBidi"/>
      <w:kern w:val="0"/>
      <w:sz w:val="22"/>
      <w:szCs w:val="22"/>
      <w:vertAlign w:val="superscript"/>
    </w:rPr>
  </w:style>
  <w:style w:type="character" w:styleId="Emphasis">
    <w:name w:val="Emphasis"/>
    <w:basedOn w:val="DefaultParagraphFont"/>
    <w:uiPriority w:val="20"/>
    <w:qFormat/>
    <w:rsid w:val="00673ED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ED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EE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2398F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398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2398F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0B5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FF1"/>
    <w:rPr>
      <w:rFonts w:ascii="Times New Roman" w:eastAsia="Andale Sans UI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FF1"/>
    <w:rPr>
      <w:rFonts w:ascii="Times New Roman" w:eastAsia="Andale Sans UI" w:hAnsi="Times New Roman" w:cs="Times New Roman"/>
      <w:b/>
      <w:bCs/>
      <w:kern w:val="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127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01675"/>
    <w:pPr>
      <w:suppressAutoHyphens w:val="0"/>
      <w:autoSpaceDE w:val="0"/>
      <w:autoSpaceDN w:val="0"/>
      <w:ind w:left="127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501675"/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3C63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  <w:style w:type="paragraph" w:customStyle="1" w:styleId="elementtoproof">
    <w:name w:val="elementtoproof"/>
    <w:basedOn w:val="Normal"/>
    <w:rsid w:val="00C3130E"/>
    <w:pPr>
      <w:widowControl/>
      <w:suppressAutoHyphens w:val="0"/>
    </w:pPr>
    <w:rPr>
      <w:rFonts w:ascii="Aptos" w:eastAsiaTheme="minorHAnsi" w:hAnsi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7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7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alendarkonkursa.minljmpdd.gov.r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Преглед реализације активности планираних  у 2025. години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Sheet1!$C$2:$C$3</c:f>
              <c:strCache>
                <c:ptCount val="2"/>
                <c:pt idx="0">
                  <c:v>Преглед реализованих активности  у 2025. години </c:v>
                </c:pt>
                <c:pt idx="1">
                  <c:v>број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606-4CAB-8834-58DB952A9B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606-4CAB-8834-58DB952A9B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606-4CAB-8834-58DB952A9B3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Sheet1!$A$4:$B$6</c:f>
              <c:strCache>
                <c:ptCount val="3"/>
                <c:pt idx="0">
                  <c:v>Реализовано </c:v>
                </c:pt>
                <c:pt idx="1">
                  <c:v>Реализација у току</c:v>
                </c:pt>
                <c:pt idx="2">
                  <c:v>Одустало се од реализације </c:v>
                </c:pt>
              </c:strCache>
            </c:strRef>
          </c:cat>
          <c:val>
            <c:numRef>
              <c:f>Sheet1!$C$4:$C$6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06-4CAB-8834-58DB952A9B34}"/>
            </c:ext>
          </c:extLst>
        </c:ser>
        <c:ser>
          <c:idx val="1"/>
          <c:order val="1"/>
          <c:tx>
            <c:strRef>
              <c:f>Sheet1!$D$2:$D$3</c:f>
              <c:strCache>
                <c:ptCount val="2"/>
                <c:pt idx="0">
                  <c:v>Преглед реализованих активности  у 2025. години </c:v>
                </c:pt>
                <c:pt idx="1">
                  <c:v>проценат %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8-A606-4CAB-8834-58DB952A9B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A606-4CAB-8834-58DB952A9B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A606-4CAB-8834-58DB952A9B3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Sheet1!$A$4:$B$6</c:f>
              <c:strCache>
                <c:ptCount val="3"/>
                <c:pt idx="0">
                  <c:v>Реализовано </c:v>
                </c:pt>
                <c:pt idx="1">
                  <c:v>Реализација у току</c:v>
                </c:pt>
                <c:pt idx="2">
                  <c:v>Одустало се од реализације </c:v>
                </c:pt>
              </c:strCache>
            </c:strRef>
          </c:cat>
          <c:val>
            <c:numRef>
              <c:f>Sheet1!$D$4:$D$6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606-4CAB-8834-58DB952A9B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CB31-EE03-4E98-A565-4C1E57EC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5666</Words>
  <Characters>32299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 Radojicic</dc:creator>
  <cp:lastModifiedBy>Milena Banović</cp:lastModifiedBy>
  <cp:revision>3</cp:revision>
  <cp:lastPrinted>2026-02-26T08:32:00Z</cp:lastPrinted>
  <dcterms:created xsi:type="dcterms:W3CDTF">2026-05-07T06:39:00Z</dcterms:created>
  <dcterms:modified xsi:type="dcterms:W3CDTF">2026-05-12T07:24:00Z</dcterms:modified>
</cp:coreProperties>
</file>